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cs="黑体"/>
          <w:spacing w:val="15"/>
          <w:sz w:val="32"/>
          <w:szCs w:val="32"/>
        </w:rPr>
      </w:pPr>
    </w:p>
    <w:p>
      <w:pPr>
        <w:spacing w:line="560" w:lineRule="exact"/>
        <w:jc w:val="center"/>
        <w:rPr>
          <w:rFonts w:ascii="方正小标宋简体" w:hAnsi="方正小标宋简体" w:eastAsia="方正小标宋简体" w:cs="方正小标宋简体"/>
          <w:spacing w:val="15"/>
          <w:sz w:val="44"/>
          <w:szCs w:val="44"/>
        </w:rPr>
      </w:pPr>
    </w:p>
    <w:p>
      <w:pPr>
        <w:spacing w:line="560" w:lineRule="exact"/>
        <w:jc w:val="center"/>
        <w:rPr>
          <w:rFonts w:ascii="方正小标宋简体" w:hAnsi="方正小标宋简体" w:eastAsia="方正小标宋简体" w:cs="方正小标宋简体"/>
          <w:bCs/>
          <w:spacing w:val="15"/>
          <w:sz w:val="44"/>
          <w:szCs w:val="44"/>
        </w:rPr>
      </w:pPr>
    </w:p>
    <w:p>
      <w:pPr>
        <w:spacing w:line="560" w:lineRule="exact"/>
        <w:jc w:val="center"/>
        <w:rPr>
          <w:rFonts w:ascii="方正小标宋简体" w:hAnsi="方正小标宋简体" w:eastAsia="方正小标宋简体" w:cs="方正小标宋简体"/>
          <w:bCs/>
          <w:spacing w:val="15"/>
          <w:sz w:val="44"/>
          <w:szCs w:val="44"/>
        </w:rPr>
      </w:pPr>
    </w:p>
    <w:p>
      <w:pPr>
        <w:spacing w:line="560" w:lineRule="exact"/>
        <w:jc w:val="center"/>
        <w:rPr>
          <w:rFonts w:ascii="方正小标宋简体" w:hAnsi="方正小标宋简体" w:eastAsia="方正小标宋简体" w:cs="方正小标宋简体"/>
          <w:bCs/>
          <w:spacing w:val="15"/>
          <w:sz w:val="44"/>
          <w:szCs w:val="44"/>
        </w:rPr>
      </w:pPr>
    </w:p>
    <w:p>
      <w:pPr>
        <w:spacing w:line="560" w:lineRule="exact"/>
        <w:jc w:val="center"/>
        <w:rPr>
          <w:rFonts w:ascii="方正小标宋简体" w:hAnsi="方正小标宋简体" w:eastAsia="方正小标宋简体" w:cs="方正小标宋简体"/>
          <w:bCs/>
          <w:spacing w:val="15"/>
          <w:sz w:val="44"/>
          <w:szCs w:val="44"/>
        </w:rPr>
      </w:pPr>
    </w:p>
    <w:p>
      <w:pPr>
        <w:spacing w:line="560" w:lineRule="exact"/>
        <w:jc w:val="center"/>
        <w:rPr>
          <w:rFonts w:ascii="方正小标宋简体" w:hAnsi="方正小标宋简体" w:eastAsia="方正小标宋简体" w:cs="方正小标宋简体"/>
          <w:bCs/>
          <w:spacing w:val="15"/>
          <w:sz w:val="44"/>
          <w:szCs w:val="44"/>
        </w:rPr>
      </w:pPr>
    </w:p>
    <w:p>
      <w:pPr>
        <w:spacing w:line="560" w:lineRule="exact"/>
        <w:jc w:val="center"/>
        <w:rPr>
          <w:rFonts w:ascii="方正小标宋简体" w:hAnsi="方正小标宋简体" w:eastAsia="方正小标宋简体" w:cs="方正小标宋简体"/>
          <w:bCs/>
          <w:spacing w:val="15"/>
          <w:sz w:val="44"/>
          <w:szCs w:val="44"/>
        </w:rPr>
      </w:pPr>
    </w:p>
    <w:p>
      <w:pPr>
        <w:spacing w:line="560" w:lineRule="exact"/>
        <w:jc w:val="center"/>
        <w:rPr>
          <w:rFonts w:ascii="方正小标宋简体" w:hAnsi="方正小标宋简体" w:eastAsia="方正小标宋简体" w:cs="方正小标宋简体"/>
          <w:bCs/>
          <w:spacing w:val="15"/>
          <w:sz w:val="44"/>
          <w:szCs w:val="44"/>
        </w:rPr>
      </w:pPr>
    </w:p>
    <w:p>
      <w:pPr>
        <w:spacing w:line="560" w:lineRule="exact"/>
        <w:jc w:val="center"/>
        <w:rPr>
          <w:rFonts w:ascii="方正小标宋简体" w:hAnsi="方正小标宋简体" w:eastAsia="方正小标宋简体" w:cs="方正小标宋简体"/>
          <w:bCs/>
          <w:spacing w:val="15"/>
          <w:sz w:val="44"/>
          <w:szCs w:val="44"/>
        </w:rPr>
      </w:pPr>
      <w:r>
        <w:rPr>
          <w:rFonts w:ascii="方正小标宋简体" w:hAnsi="方正小标宋简体" w:eastAsia="方正小标宋简体" w:cs="方正小标宋简体"/>
          <w:bCs/>
          <w:spacing w:val="15"/>
          <w:sz w:val="44"/>
          <w:szCs w:val="44"/>
        </w:rPr>
        <w:t>丽水市莲都区人民法院审判保障服务中心</w:t>
      </w:r>
      <w:r>
        <w:rPr>
          <w:rFonts w:hint="eastAsia" w:ascii="方正小标宋简体" w:hAnsi="方正小标宋简体" w:eastAsia="方正小标宋简体" w:cs="方正小标宋简体"/>
          <w:bCs/>
          <w:spacing w:val="15"/>
          <w:sz w:val="44"/>
          <w:szCs w:val="44"/>
          <w:lang w:eastAsia="zh-CN"/>
        </w:rPr>
        <w:t>2025年</w:t>
      </w:r>
      <w:r>
        <w:rPr>
          <w:rFonts w:hint="eastAsia" w:ascii="方正小标宋简体" w:hAnsi="方正小标宋简体" w:eastAsia="方正小标宋简体" w:cs="方正小标宋简体"/>
          <w:bCs/>
          <w:spacing w:val="15"/>
          <w:sz w:val="44"/>
          <w:szCs w:val="44"/>
        </w:rPr>
        <w:t>单位预算</w:t>
      </w:r>
    </w:p>
    <w:p>
      <w:pPr>
        <w:spacing w:line="560" w:lineRule="exact"/>
        <w:ind w:firstLine="590" w:firstLineChars="196"/>
        <w:rPr>
          <w:rStyle w:val="10"/>
          <w:color w:val="000000"/>
          <w:sz w:val="30"/>
          <w:szCs w:val="30"/>
        </w:rPr>
      </w:pPr>
    </w:p>
    <w:p>
      <w:pPr>
        <w:spacing w:line="520" w:lineRule="exact"/>
        <w:ind w:firstLine="627" w:firstLineChars="196"/>
        <w:jc w:val="center"/>
        <w:rPr>
          <w:rStyle w:val="10"/>
          <w:rFonts w:ascii="黑体" w:eastAsia="黑体"/>
          <w:b w:val="0"/>
          <w:color w:val="000000"/>
          <w:sz w:val="32"/>
          <w:szCs w:val="32"/>
        </w:rPr>
      </w:pPr>
    </w:p>
    <w:p>
      <w:pPr>
        <w:spacing w:line="520" w:lineRule="exact"/>
        <w:ind w:firstLine="627" w:firstLineChars="196"/>
        <w:jc w:val="center"/>
        <w:rPr>
          <w:rStyle w:val="10"/>
          <w:rFonts w:ascii="黑体" w:eastAsia="黑体"/>
          <w:b w:val="0"/>
          <w:color w:val="000000"/>
          <w:sz w:val="32"/>
          <w:szCs w:val="32"/>
        </w:rPr>
      </w:pPr>
    </w:p>
    <w:p>
      <w:pPr>
        <w:spacing w:line="520" w:lineRule="exact"/>
        <w:ind w:firstLine="627" w:firstLineChars="196"/>
        <w:jc w:val="center"/>
        <w:rPr>
          <w:rStyle w:val="10"/>
          <w:rFonts w:ascii="黑体" w:eastAsia="黑体"/>
          <w:b w:val="0"/>
          <w:color w:val="000000"/>
          <w:sz w:val="32"/>
          <w:szCs w:val="32"/>
        </w:rPr>
      </w:pPr>
    </w:p>
    <w:p>
      <w:pPr>
        <w:spacing w:line="520" w:lineRule="exact"/>
        <w:ind w:firstLine="627" w:firstLineChars="196"/>
        <w:jc w:val="center"/>
        <w:rPr>
          <w:rStyle w:val="10"/>
          <w:rFonts w:ascii="黑体" w:eastAsia="黑体"/>
          <w:b w:val="0"/>
          <w:color w:val="000000"/>
          <w:sz w:val="32"/>
          <w:szCs w:val="32"/>
        </w:rPr>
      </w:pPr>
    </w:p>
    <w:p>
      <w:pPr>
        <w:spacing w:line="520" w:lineRule="exact"/>
        <w:ind w:firstLine="627" w:firstLineChars="196"/>
        <w:jc w:val="center"/>
        <w:rPr>
          <w:rStyle w:val="10"/>
          <w:rFonts w:ascii="黑体" w:eastAsia="黑体"/>
          <w:b w:val="0"/>
          <w:color w:val="000000"/>
          <w:sz w:val="32"/>
          <w:szCs w:val="32"/>
        </w:rPr>
      </w:pPr>
    </w:p>
    <w:p>
      <w:pPr>
        <w:spacing w:line="520" w:lineRule="exact"/>
        <w:ind w:firstLine="627" w:firstLineChars="196"/>
        <w:jc w:val="center"/>
        <w:rPr>
          <w:rStyle w:val="10"/>
          <w:rFonts w:ascii="黑体" w:eastAsia="黑体"/>
          <w:b w:val="0"/>
          <w:color w:val="000000"/>
          <w:sz w:val="32"/>
          <w:szCs w:val="32"/>
        </w:rPr>
      </w:pPr>
    </w:p>
    <w:p>
      <w:pPr>
        <w:spacing w:line="520" w:lineRule="exact"/>
        <w:ind w:firstLine="627" w:firstLineChars="196"/>
        <w:jc w:val="center"/>
        <w:rPr>
          <w:rStyle w:val="10"/>
          <w:rFonts w:ascii="黑体" w:eastAsia="黑体"/>
          <w:b w:val="0"/>
          <w:color w:val="000000"/>
          <w:sz w:val="32"/>
          <w:szCs w:val="32"/>
        </w:rPr>
      </w:pPr>
    </w:p>
    <w:p>
      <w:pPr>
        <w:spacing w:line="520" w:lineRule="exact"/>
        <w:ind w:firstLine="627" w:firstLineChars="196"/>
        <w:jc w:val="center"/>
        <w:rPr>
          <w:rStyle w:val="10"/>
          <w:rFonts w:ascii="黑体" w:eastAsia="黑体"/>
          <w:b w:val="0"/>
          <w:color w:val="000000"/>
          <w:sz w:val="32"/>
          <w:szCs w:val="32"/>
        </w:rPr>
      </w:pPr>
    </w:p>
    <w:p>
      <w:pPr>
        <w:spacing w:line="520" w:lineRule="exact"/>
        <w:ind w:firstLine="627" w:firstLineChars="196"/>
        <w:jc w:val="center"/>
        <w:rPr>
          <w:rStyle w:val="10"/>
          <w:rFonts w:ascii="黑体" w:eastAsia="黑体"/>
          <w:b w:val="0"/>
          <w:color w:val="000000"/>
          <w:sz w:val="32"/>
          <w:szCs w:val="32"/>
        </w:rPr>
      </w:pPr>
    </w:p>
    <w:p>
      <w:pPr>
        <w:spacing w:line="520" w:lineRule="exact"/>
        <w:ind w:firstLine="627" w:firstLineChars="196"/>
        <w:jc w:val="center"/>
        <w:rPr>
          <w:rStyle w:val="10"/>
          <w:rFonts w:ascii="黑体" w:eastAsia="黑体"/>
          <w:b w:val="0"/>
          <w:color w:val="000000"/>
          <w:sz w:val="32"/>
          <w:szCs w:val="32"/>
        </w:rPr>
      </w:pPr>
    </w:p>
    <w:p>
      <w:pPr>
        <w:spacing w:line="520" w:lineRule="exact"/>
        <w:ind w:firstLine="627" w:firstLineChars="196"/>
        <w:jc w:val="center"/>
        <w:rPr>
          <w:rStyle w:val="10"/>
          <w:rFonts w:ascii="黑体" w:eastAsia="黑体"/>
          <w:b w:val="0"/>
          <w:color w:val="000000"/>
          <w:sz w:val="32"/>
          <w:szCs w:val="32"/>
        </w:rPr>
      </w:pPr>
    </w:p>
    <w:p>
      <w:pPr>
        <w:spacing w:line="520" w:lineRule="exact"/>
        <w:ind w:firstLine="627" w:firstLineChars="196"/>
        <w:jc w:val="center"/>
        <w:rPr>
          <w:rStyle w:val="10"/>
          <w:rFonts w:ascii="黑体" w:eastAsia="黑体"/>
          <w:b w:val="0"/>
          <w:color w:val="000000"/>
          <w:sz w:val="32"/>
          <w:szCs w:val="32"/>
        </w:rPr>
      </w:pPr>
    </w:p>
    <w:p>
      <w:pPr>
        <w:spacing w:line="520" w:lineRule="exact"/>
        <w:ind w:firstLine="627" w:firstLineChars="196"/>
        <w:jc w:val="center"/>
        <w:rPr>
          <w:rStyle w:val="10"/>
          <w:rFonts w:ascii="黑体" w:eastAsia="黑体"/>
          <w:b w:val="0"/>
          <w:color w:val="000000"/>
          <w:sz w:val="32"/>
          <w:szCs w:val="32"/>
        </w:rPr>
      </w:pPr>
    </w:p>
    <w:p>
      <w:pPr>
        <w:spacing w:line="520" w:lineRule="exact"/>
        <w:rPr>
          <w:rStyle w:val="10"/>
          <w:rFonts w:ascii="黑体" w:eastAsia="黑体"/>
          <w:b w:val="0"/>
          <w:color w:val="000000"/>
          <w:sz w:val="32"/>
          <w:szCs w:val="32"/>
        </w:rPr>
      </w:pPr>
    </w:p>
    <w:p>
      <w:pPr>
        <w:spacing w:line="520" w:lineRule="exact"/>
        <w:ind w:firstLine="627" w:firstLineChars="196"/>
        <w:jc w:val="center"/>
        <w:rPr>
          <w:rStyle w:val="10"/>
          <w:rFonts w:ascii="黑体" w:eastAsia="黑体"/>
          <w:b w:val="0"/>
          <w:color w:val="000000"/>
          <w:sz w:val="32"/>
          <w:szCs w:val="32"/>
        </w:rPr>
      </w:pPr>
      <w:r>
        <w:rPr>
          <w:rStyle w:val="10"/>
          <w:rFonts w:hint="eastAsia" w:ascii="黑体" w:eastAsia="黑体"/>
          <w:b w:val="0"/>
          <w:color w:val="000000"/>
          <w:sz w:val="32"/>
          <w:szCs w:val="32"/>
        </w:rPr>
        <w:t>目录</w:t>
      </w:r>
    </w:p>
    <w:p>
      <w:pPr>
        <w:spacing w:line="520" w:lineRule="exact"/>
        <w:rPr>
          <w:rFonts w:eastAsia="黑体"/>
          <w:sz w:val="32"/>
        </w:rPr>
      </w:pPr>
      <w:r>
        <w:rPr>
          <w:rFonts w:hint="eastAsia" w:ascii="黑体" w:eastAsia="黑体"/>
          <w:color w:val="000000"/>
          <w:sz w:val="32"/>
          <w:highlight w:val="white"/>
        </w:rPr>
        <w:t>一、单位</w:t>
      </w:r>
      <w:r>
        <w:rPr>
          <w:rStyle w:val="10"/>
          <w:rFonts w:hint="eastAsia" w:ascii="黑体" w:eastAsia="黑体"/>
          <w:b w:val="0"/>
          <w:color w:val="000000"/>
          <w:sz w:val="32"/>
          <w:szCs w:val="32"/>
        </w:rPr>
        <w:t>概况</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（一）主要职能</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（二）单位机构设置情况</w:t>
      </w:r>
    </w:p>
    <w:p>
      <w:pPr>
        <w:spacing w:line="520" w:lineRule="exact"/>
        <w:rPr>
          <w:rStyle w:val="10"/>
          <w:rFonts w:ascii="黑体" w:eastAsia="黑体"/>
          <w:b w:val="0"/>
          <w:color w:val="000000"/>
          <w:sz w:val="32"/>
          <w:szCs w:val="32"/>
        </w:rPr>
      </w:pPr>
      <w:r>
        <w:rPr>
          <w:rStyle w:val="10"/>
          <w:rFonts w:hint="eastAsia" w:ascii="黑体" w:eastAsia="黑体"/>
          <w:b w:val="0"/>
          <w:color w:val="000000"/>
          <w:sz w:val="32"/>
          <w:szCs w:val="32"/>
        </w:rPr>
        <w:t>二、</w:t>
      </w:r>
      <w:r>
        <w:rPr>
          <w:rStyle w:val="10"/>
          <w:rFonts w:hint="eastAsia" w:ascii="黑体" w:eastAsia="黑体"/>
          <w:b w:val="0"/>
          <w:color w:val="000000"/>
          <w:sz w:val="32"/>
          <w:szCs w:val="32"/>
          <w:lang w:eastAsia="zh-CN"/>
        </w:rPr>
        <w:t>2025年</w:t>
      </w:r>
      <w:r>
        <w:rPr>
          <w:rStyle w:val="10"/>
          <w:rFonts w:hint="eastAsia" w:ascii="黑体" w:eastAsia="黑体"/>
          <w:b w:val="0"/>
          <w:color w:val="000000"/>
          <w:sz w:val="32"/>
          <w:szCs w:val="32"/>
        </w:rPr>
        <w:t>丽水市莲都区人民法院审判保障服务中心单位预算安排情况说明</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（一）关于丽水市莲都区人民法院审判保障服务中心</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收支预算情况的总体说明</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（二）关于丽水市莲都区人民法院审判保障服务中心</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收入预算情况说明</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（三）关于丽水市莲都区人民法院审判保障服务中心</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支出预算情况说明</w:t>
      </w:r>
      <w:r>
        <w:rPr>
          <w:rFonts w:hint="eastAsia" w:ascii="楷体_GB2312" w:hAnsi="楷体_GB2312" w:eastAsia="楷体_GB2312" w:cs="楷体_GB2312"/>
          <w:bCs/>
          <w:sz w:val="32"/>
          <w:szCs w:val="32"/>
        </w:rPr>
        <w:br w:type="textWrapping"/>
      </w:r>
      <w:r>
        <w:rPr>
          <w:rFonts w:hint="eastAsia" w:ascii="楷体_GB2312" w:hAnsi="楷体_GB2312" w:eastAsia="楷体_GB2312" w:cs="楷体_GB2312"/>
          <w:bCs/>
          <w:sz w:val="32"/>
          <w:szCs w:val="32"/>
        </w:rPr>
        <w:t>（四）关于丽水市莲都区人民法院审判保障服务中心</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财政拨款收支预算情况的总体说明</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（五）关于丽水市莲都区人民法院审判保障服务中心</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一般公共预算拨款情况说明</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（六）关于丽水市莲都区人民法院审判保障服务中心</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一般公共预算基本支出情况说明</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（七）关于丽水市莲都区人民法院审判保障服务中心</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政府性基金预算支出情况说明</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（八）关于丽水市莲都区人民法院审判保障服务中心</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国有资本经营预算支出情况说明</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（九）关于丽水市莲都区人民法院审判保障服务中心</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一般公共预算“三公”经费预算情况说明</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（十）其他重要事项的情况说明</w:t>
      </w:r>
    </w:p>
    <w:p>
      <w:pPr>
        <w:pStyle w:val="15"/>
        <w:spacing w:line="520" w:lineRule="exact"/>
        <w:rPr>
          <w:rStyle w:val="10"/>
          <w:rFonts w:ascii="黑体" w:hAnsi="Calibri" w:eastAsia="黑体"/>
          <w:b w:val="0"/>
          <w:color w:val="000000"/>
          <w:kern w:val="2"/>
          <w:sz w:val="32"/>
          <w:szCs w:val="32"/>
        </w:rPr>
      </w:pPr>
      <w:r>
        <w:rPr>
          <w:rStyle w:val="10"/>
          <w:rFonts w:hint="eastAsia" w:ascii="黑体" w:hAnsi="Calibri" w:eastAsia="黑体"/>
          <w:b w:val="0"/>
          <w:color w:val="000000"/>
          <w:kern w:val="2"/>
          <w:sz w:val="32"/>
          <w:szCs w:val="32"/>
        </w:rPr>
        <w:t>三、名词解释</w:t>
      </w:r>
    </w:p>
    <w:p>
      <w:pPr>
        <w:spacing w:line="520" w:lineRule="exact"/>
        <w:rPr>
          <w:rStyle w:val="10"/>
          <w:rFonts w:ascii="黑体" w:eastAsia="黑体"/>
          <w:b w:val="0"/>
          <w:color w:val="000000"/>
          <w:sz w:val="32"/>
          <w:szCs w:val="32"/>
        </w:rPr>
      </w:pPr>
      <w:r>
        <w:rPr>
          <w:rStyle w:val="10"/>
          <w:rFonts w:hint="eastAsia" w:ascii="黑体" w:eastAsia="黑体"/>
          <w:b w:val="0"/>
          <w:color w:val="000000"/>
          <w:sz w:val="32"/>
          <w:szCs w:val="32"/>
        </w:rPr>
        <w:t>四、</w:t>
      </w:r>
      <w:r>
        <w:rPr>
          <w:rStyle w:val="10"/>
          <w:rFonts w:hint="eastAsia" w:ascii="黑体" w:eastAsia="黑体"/>
          <w:b w:val="0"/>
          <w:color w:val="000000"/>
          <w:sz w:val="32"/>
          <w:szCs w:val="32"/>
          <w:lang w:eastAsia="zh-CN"/>
        </w:rPr>
        <w:t>2025年</w:t>
      </w:r>
      <w:r>
        <w:rPr>
          <w:rStyle w:val="10"/>
          <w:rFonts w:hint="eastAsia" w:ascii="黑体" w:eastAsia="黑体"/>
          <w:b w:val="0"/>
          <w:color w:val="000000"/>
          <w:sz w:val="32"/>
          <w:szCs w:val="32"/>
        </w:rPr>
        <w:t>丽水市莲都区人民法院审判保障服务中心单位预算表</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单位收支预算总表</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单位收入预算总表</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（三）</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单位支出预算总表</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（四）</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单位财政拨款收支预算总表</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（五）</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单位一般公共预算支出表</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（六）</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单位一般公共预算基本支出表</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（七）</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单位一般公共预算“三公”经费支出表</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（八）</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单位政府性基金预算支出表</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（九）</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单位国有资本经营预算支出表</w:t>
      </w:r>
    </w:p>
    <w:p>
      <w:pPr>
        <w:autoSpaceDE w:val="0"/>
        <w:autoSpaceDN w:val="0"/>
        <w:adjustRightInd w:val="0"/>
        <w:ind w:left="420" w:left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（十）</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单位项目支出预算表</w:t>
      </w:r>
    </w:p>
    <w:p>
      <w:pPr>
        <w:autoSpaceDE w:val="0"/>
        <w:autoSpaceDN w:val="0"/>
        <w:adjustRightInd w:val="0"/>
        <w:ind w:left="420" w:leftChars="200"/>
        <w:jc w:val="left"/>
        <w:rPr>
          <w:rStyle w:val="10"/>
          <w:rFonts w:ascii="楷体_GB2312" w:hAnsi="楷体_GB2312" w:eastAsia="楷体_GB2312" w:cs="楷体_GB2312"/>
          <w:b w:val="0"/>
          <w:sz w:val="32"/>
          <w:szCs w:val="32"/>
        </w:rPr>
      </w:pPr>
      <w:r>
        <w:rPr>
          <w:rFonts w:hint="eastAsia" w:ascii="楷体_GB2312" w:hAnsi="楷体_GB2312" w:eastAsia="楷体_GB2312" w:cs="楷体_GB2312"/>
          <w:bCs/>
          <w:sz w:val="32"/>
          <w:szCs w:val="32"/>
        </w:rPr>
        <w:t>（十一）</w:t>
      </w:r>
      <w:r>
        <w:rPr>
          <w:rFonts w:hint="eastAsia" w:ascii="楷体_GB2312" w:hAnsi="楷体_GB2312" w:eastAsia="楷体_GB2312" w:cs="楷体_GB2312"/>
          <w:bCs/>
          <w:sz w:val="32"/>
          <w:szCs w:val="32"/>
          <w:lang w:eastAsia="zh-CN"/>
        </w:rPr>
        <w:t>2025年</w:t>
      </w:r>
      <w:r>
        <w:rPr>
          <w:rFonts w:hint="eastAsia" w:ascii="楷体_GB2312" w:hAnsi="楷体_GB2312" w:eastAsia="楷体_GB2312" w:cs="楷体_GB2312"/>
          <w:bCs/>
          <w:sz w:val="32"/>
          <w:szCs w:val="32"/>
        </w:rPr>
        <w:t>单位项目支出绩效表</w:t>
      </w:r>
    </w:p>
    <w:p>
      <w:pPr>
        <w:pStyle w:val="2"/>
        <w:rPr>
          <w:rStyle w:val="10"/>
          <w:rFonts w:hint="default" w:ascii="黑体" w:eastAsia="黑体"/>
          <w:b w:val="0"/>
          <w:sz w:val="32"/>
          <w:szCs w:val="32"/>
        </w:rPr>
      </w:pPr>
    </w:p>
    <w:p>
      <w:pPr>
        <w:pStyle w:val="2"/>
        <w:rPr>
          <w:rStyle w:val="10"/>
          <w:rFonts w:hint="default" w:ascii="黑体" w:eastAsia="黑体"/>
          <w:b w:val="0"/>
          <w:sz w:val="32"/>
          <w:szCs w:val="32"/>
        </w:rPr>
      </w:pPr>
    </w:p>
    <w:p>
      <w:pPr>
        <w:pStyle w:val="2"/>
        <w:rPr>
          <w:rStyle w:val="10"/>
          <w:rFonts w:hint="default" w:ascii="黑体" w:eastAsia="黑体"/>
          <w:b w:val="0"/>
          <w:sz w:val="32"/>
          <w:szCs w:val="32"/>
        </w:rPr>
      </w:pPr>
    </w:p>
    <w:p>
      <w:pPr>
        <w:pStyle w:val="2"/>
        <w:rPr>
          <w:rStyle w:val="10"/>
          <w:rFonts w:hint="default" w:ascii="黑体" w:eastAsia="黑体"/>
          <w:b w:val="0"/>
          <w:sz w:val="32"/>
          <w:szCs w:val="32"/>
        </w:rPr>
      </w:pPr>
    </w:p>
    <w:p>
      <w:pPr>
        <w:pStyle w:val="2"/>
        <w:rPr>
          <w:rStyle w:val="10"/>
          <w:rFonts w:hint="default" w:ascii="黑体" w:eastAsia="黑体"/>
          <w:b w:val="0"/>
          <w:sz w:val="32"/>
          <w:szCs w:val="32"/>
        </w:rPr>
      </w:pPr>
      <w:bookmarkStart w:id="0" w:name="_GoBack"/>
      <w:bookmarkEnd w:id="0"/>
    </w:p>
    <w:p>
      <w:pPr>
        <w:pStyle w:val="2"/>
        <w:tabs>
          <w:tab w:val="left" w:pos="2608"/>
        </w:tabs>
        <w:rPr>
          <w:rStyle w:val="10"/>
          <w:rFonts w:hint="default" w:ascii="黑体" w:eastAsia="黑体"/>
          <w:b w:val="0"/>
          <w:sz w:val="32"/>
          <w:szCs w:val="32"/>
        </w:rPr>
      </w:pPr>
      <w:r>
        <w:rPr>
          <w:rStyle w:val="10"/>
          <w:rFonts w:ascii="黑体" w:eastAsia="黑体"/>
          <w:b w:val="0"/>
          <w:sz w:val="32"/>
          <w:szCs w:val="32"/>
        </w:rPr>
        <w:tab/>
      </w:r>
    </w:p>
    <w:p>
      <w:pPr>
        <w:spacing w:line="520" w:lineRule="exact"/>
        <w:ind w:firstLine="627" w:firstLineChars="196"/>
        <w:rPr>
          <w:rStyle w:val="10"/>
          <w:rFonts w:ascii="黑体" w:eastAsia="黑体"/>
          <w:b w:val="0"/>
          <w:color w:val="000000"/>
          <w:sz w:val="32"/>
          <w:szCs w:val="32"/>
        </w:rPr>
      </w:pPr>
      <w:r>
        <w:rPr>
          <w:rStyle w:val="10"/>
          <w:rFonts w:hint="eastAsia" w:ascii="黑体" w:eastAsia="黑体"/>
          <w:b w:val="0"/>
          <w:color w:val="000000"/>
          <w:sz w:val="32"/>
          <w:szCs w:val="32"/>
        </w:rPr>
        <w:t>一、单位概况</w:t>
      </w:r>
    </w:p>
    <w:p>
      <w:pPr>
        <w:spacing w:line="520" w:lineRule="exact"/>
        <w:ind w:firstLine="627" w:firstLineChars="196"/>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（一）主要职能</w:t>
      </w:r>
    </w:p>
    <w:p>
      <w:pPr>
        <w:snapToGrid w:val="0"/>
        <w:spacing w:line="540" w:lineRule="exact"/>
        <w:ind w:firstLine="640" w:firstLineChars="200"/>
        <w:rPr>
          <w:rFonts w:ascii="仿宋_GB2312" w:eastAsia="仿宋_GB2312"/>
          <w:bCs/>
          <w:sz w:val="32"/>
          <w:szCs w:val="32"/>
        </w:rPr>
      </w:pPr>
      <w:r>
        <w:rPr>
          <w:rFonts w:hint="eastAsia" w:ascii="仿宋_GB2312" w:eastAsia="仿宋_GB2312"/>
          <w:bCs/>
          <w:sz w:val="32"/>
          <w:szCs w:val="32"/>
        </w:rPr>
        <w:t>履行审判辅助职能，承担本院的文印、庭审速录、公务用车、计算机管理与维护、大楼物业、食堂管理等辅助性、事务性、服务性后勤工作。</w:t>
      </w:r>
    </w:p>
    <w:p>
      <w:pPr>
        <w:spacing w:line="520" w:lineRule="exact"/>
        <w:ind w:firstLine="627" w:firstLineChars="196"/>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（二）单位机构设置情况</w:t>
      </w:r>
    </w:p>
    <w:p>
      <w:pPr>
        <w:pStyle w:val="6"/>
        <w:keepNext w:val="0"/>
        <w:keepLines w:val="0"/>
        <w:widowControl/>
        <w:suppressLineNumbers w:val="0"/>
        <w:spacing w:line="555" w:lineRule="atLeast"/>
        <w:ind w:left="0" w:firstLine="630"/>
        <w:rPr>
          <w:rFonts w:hint="eastAsia" w:ascii="仿宋_GB2312" w:hAnsi="Times New Roman" w:eastAsia="仿宋_GB2312" w:cs="Times New Roman"/>
          <w:bCs/>
          <w:kern w:val="2"/>
          <w:sz w:val="32"/>
          <w:szCs w:val="32"/>
          <w:lang w:val="en-US" w:eastAsia="zh-CN" w:bidi="ar-SA"/>
        </w:rPr>
      </w:pPr>
      <w:r>
        <w:rPr>
          <w:rFonts w:hint="eastAsia" w:ascii="仿宋_GB2312" w:eastAsia="仿宋_GB2312" w:cs="Times New Roman"/>
          <w:bCs/>
          <w:kern w:val="2"/>
          <w:sz w:val="32"/>
          <w:szCs w:val="32"/>
          <w:lang w:val="en-US" w:eastAsia="zh-CN" w:bidi="ar-SA"/>
        </w:rPr>
        <w:t>从预算单位构成看，</w:t>
      </w:r>
      <w:r>
        <w:rPr>
          <w:rFonts w:hint="eastAsia" w:ascii="仿宋_GB2312" w:hAnsi="Times New Roman" w:eastAsia="仿宋_GB2312" w:cs="Times New Roman"/>
          <w:bCs/>
          <w:kern w:val="2"/>
          <w:sz w:val="32"/>
          <w:szCs w:val="32"/>
          <w:lang w:val="en-US" w:eastAsia="zh-CN" w:bidi="ar-SA"/>
        </w:rPr>
        <w:t>莲都区</w:t>
      </w:r>
      <w:r>
        <w:rPr>
          <w:rFonts w:hint="eastAsia" w:ascii="仿宋_GB2312" w:eastAsia="仿宋_GB2312" w:cs="Times New Roman"/>
          <w:bCs/>
          <w:kern w:val="2"/>
          <w:sz w:val="32"/>
          <w:szCs w:val="32"/>
          <w:lang w:val="en-US" w:eastAsia="zh-CN" w:bidi="ar-SA"/>
        </w:rPr>
        <w:t>人民</w:t>
      </w:r>
      <w:r>
        <w:rPr>
          <w:rFonts w:hint="eastAsia" w:ascii="仿宋_GB2312" w:hAnsi="Times New Roman" w:eastAsia="仿宋_GB2312" w:cs="Times New Roman"/>
          <w:bCs/>
          <w:kern w:val="2"/>
          <w:sz w:val="32"/>
          <w:szCs w:val="32"/>
          <w:lang w:val="en-US" w:eastAsia="zh-CN" w:bidi="ar-SA"/>
        </w:rPr>
        <w:t>法院审判保障服务中心</w:t>
      </w:r>
      <w:r>
        <w:rPr>
          <w:rFonts w:hint="eastAsia" w:ascii="仿宋_GB2312" w:eastAsia="仿宋_GB2312" w:cs="Times New Roman"/>
          <w:bCs/>
          <w:kern w:val="2"/>
          <w:sz w:val="32"/>
          <w:szCs w:val="32"/>
          <w:lang w:val="en-US" w:eastAsia="zh-CN" w:bidi="ar-SA"/>
        </w:rPr>
        <w:t>单位预算包括：审判保障服务中心本级预算</w:t>
      </w:r>
      <w:r>
        <w:rPr>
          <w:rFonts w:hint="eastAsia" w:ascii="仿宋_GB2312" w:hAnsi="Times New Roman" w:eastAsia="仿宋_GB2312" w:cs="Times New Roman"/>
          <w:bCs/>
          <w:kern w:val="2"/>
          <w:sz w:val="32"/>
          <w:szCs w:val="32"/>
          <w:lang w:val="en-US" w:eastAsia="zh-CN" w:bidi="ar-SA"/>
        </w:rPr>
        <w:t>。</w:t>
      </w:r>
    </w:p>
    <w:p>
      <w:pPr>
        <w:spacing w:line="520" w:lineRule="exact"/>
        <w:rPr>
          <w:rFonts w:ascii="楷体_GB2312" w:hAnsi="楷体_GB2312" w:eastAsia="楷体_GB2312" w:cs="楷体_GB2312"/>
          <w:color w:val="000000"/>
          <w:sz w:val="32"/>
          <w:szCs w:val="32"/>
        </w:rPr>
      </w:pPr>
      <w:r>
        <w:rPr>
          <w:rStyle w:val="10"/>
          <w:rFonts w:hint="eastAsia" w:ascii="黑体" w:eastAsia="黑体"/>
          <w:b w:val="0"/>
          <w:color w:val="000000"/>
          <w:sz w:val="32"/>
          <w:szCs w:val="32"/>
        </w:rPr>
        <w:t>二、</w:t>
      </w:r>
      <w:r>
        <w:rPr>
          <w:rStyle w:val="10"/>
          <w:rFonts w:hint="eastAsia" w:ascii="黑体" w:eastAsia="黑体"/>
          <w:b w:val="0"/>
          <w:color w:val="000000"/>
          <w:sz w:val="32"/>
          <w:szCs w:val="32"/>
          <w:lang w:eastAsia="zh-CN"/>
        </w:rPr>
        <w:t>2025年</w:t>
      </w:r>
      <w:r>
        <w:rPr>
          <w:rStyle w:val="10"/>
          <w:rFonts w:hint="eastAsia" w:ascii="黑体" w:eastAsia="黑体"/>
          <w:b w:val="0"/>
          <w:color w:val="000000"/>
          <w:sz w:val="32"/>
          <w:szCs w:val="32"/>
        </w:rPr>
        <w:t>丽水市莲都区人民法院审判保障服务中心单位预算安排情况说明</w:t>
      </w:r>
      <w:r>
        <w:rPr>
          <w:rFonts w:hint="eastAsia"/>
          <w:color w:val="000000"/>
          <w:sz w:val="32"/>
          <w:szCs w:val="32"/>
        </w:rPr>
        <w:br w:type="textWrapping"/>
      </w:r>
      <w:r>
        <w:rPr>
          <w:rFonts w:hint="eastAsia" w:ascii="仿宋_GB2312" w:eastAsia="仿宋_GB2312"/>
          <w:b/>
          <w:bCs/>
          <w:color w:val="000000"/>
          <w:sz w:val="32"/>
          <w:szCs w:val="32"/>
        </w:rPr>
        <w:t>　　</w:t>
      </w:r>
      <w:r>
        <w:rPr>
          <w:rFonts w:hint="eastAsia" w:ascii="楷体_GB2312" w:hAnsi="楷体_GB2312" w:eastAsia="楷体_GB2312" w:cs="楷体_GB2312"/>
          <w:color w:val="000000"/>
          <w:sz w:val="32"/>
          <w:szCs w:val="32"/>
        </w:rPr>
        <w:t>（一）关于丽水市莲都区人民法院审判保障服务中心</w:t>
      </w:r>
      <w:r>
        <w:rPr>
          <w:rStyle w:val="10"/>
          <w:rFonts w:hint="eastAsia" w:ascii="楷体_GB2312" w:hAnsi="楷体_GB2312" w:eastAsia="楷体_GB2312" w:cs="楷体_GB2312"/>
          <w:b w:val="0"/>
          <w:bCs w:val="0"/>
          <w:color w:val="000000"/>
          <w:sz w:val="32"/>
          <w:szCs w:val="32"/>
          <w:lang w:eastAsia="zh-CN"/>
        </w:rPr>
        <w:t>2025年</w:t>
      </w:r>
      <w:r>
        <w:rPr>
          <w:rStyle w:val="10"/>
          <w:rFonts w:hint="eastAsia" w:ascii="楷体_GB2312" w:hAnsi="楷体_GB2312" w:eastAsia="楷体_GB2312" w:cs="楷体_GB2312"/>
          <w:b w:val="0"/>
          <w:bCs w:val="0"/>
          <w:color w:val="000000"/>
          <w:sz w:val="32"/>
          <w:szCs w:val="32"/>
        </w:rPr>
        <w:t>收支预算情况的总体说明</w:t>
      </w:r>
    </w:p>
    <w:p>
      <w:pPr>
        <w:spacing w:line="520" w:lineRule="exact"/>
        <w:rPr>
          <w:rFonts w:ascii="楷体_GB2312" w:hAnsi="楷体_GB2312" w:eastAsia="楷体_GB2312" w:cs="楷体_GB2312"/>
          <w:b/>
          <w:color w:val="000000"/>
          <w:sz w:val="32"/>
          <w:szCs w:val="32"/>
        </w:rPr>
      </w:pPr>
      <w:r>
        <w:rPr>
          <w:rFonts w:hint="eastAsia" w:ascii="仿宋_GB2312" w:eastAsia="仿宋_GB2312"/>
          <w:bCs/>
          <w:color w:val="000000"/>
          <w:sz w:val="32"/>
          <w:szCs w:val="32"/>
        </w:rPr>
        <w:t xml:space="preserve">    按照</w:t>
      </w:r>
      <w:r>
        <w:rPr>
          <w:rFonts w:hint="eastAsia" w:ascii="仿宋_GB2312" w:eastAsia="仿宋_GB2312"/>
          <w:bCs/>
          <w:sz w:val="32"/>
          <w:szCs w:val="32"/>
        </w:rPr>
        <w:t>综合预算的原则，丽水市莲都区人民法院审判保障服务中心</w:t>
      </w:r>
      <w:r>
        <w:rPr>
          <w:rFonts w:hint="eastAsia" w:ascii="仿宋_GB2312" w:eastAsia="仿宋_GB2312"/>
          <w:color w:val="000000"/>
          <w:sz w:val="32"/>
          <w:szCs w:val="32"/>
        </w:rPr>
        <w:t>所有收入和支出均纳入部门预算管理。收入包括：一般公共预算拨款收入；支出包括：公共安全支出、社会保障和就业支出、卫生健康支出、住房保障支出。丽水市莲都区人民法院审判保障服务中心</w:t>
      </w:r>
      <w:r>
        <w:rPr>
          <w:rFonts w:hint="eastAsia" w:ascii="仿宋_GB2312" w:eastAsia="仿宋_GB2312"/>
          <w:color w:val="000000"/>
          <w:sz w:val="32"/>
          <w:szCs w:val="32"/>
          <w:lang w:eastAsia="zh-CN"/>
        </w:rPr>
        <w:t>2025年</w:t>
      </w:r>
      <w:r>
        <w:rPr>
          <w:rFonts w:hint="eastAsia" w:ascii="仿宋_GB2312" w:eastAsia="仿宋_GB2312"/>
          <w:color w:val="000000"/>
          <w:sz w:val="32"/>
          <w:szCs w:val="32"/>
        </w:rPr>
        <w:t>收支总预算560.24万元。</w:t>
      </w:r>
    </w:p>
    <w:p>
      <w:pPr>
        <w:spacing w:line="520" w:lineRule="exact"/>
        <w:ind w:firstLine="642"/>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（二）关于丽水市莲都区人民法院审判保障服务中心</w:t>
      </w:r>
      <w:r>
        <w:rPr>
          <w:rFonts w:hint="eastAsia" w:ascii="楷体_GB2312" w:hAnsi="楷体_GB2312" w:eastAsia="楷体_GB2312" w:cs="楷体_GB2312"/>
          <w:bCs/>
          <w:color w:val="000000"/>
          <w:sz w:val="32"/>
          <w:szCs w:val="32"/>
          <w:lang w:eastAsia="zh-CN"/>
        </w:rPr>
        <w:t>2025年</w:t>
      </w:r>
      <w:r>
        <w:rPr>
          <w:rFonts w:hint="eastAsia" w:ascii="楷体_GB2312" w:hAnsi="楷体_GB2312" w:eastAsia="楷体_GB2312" w:cs="楷体_GB2312"/>
          <w:bCs/>
          <w:color w:val="000000"/>
          <w:sz w:val="32"/>
          <w:szCs w:val="32"/>
        </w:rPr>
        <w:t>收入预算情况说明</w:t>
      </w:r>
    </w:p>
    <w:p>
      <w:pPr>
        <w:spacing w:line="520" w:lineRule="exact"/>
        <w:ind w:firstLine="642"/>
        <w:rPr>
          <w:rFonts w:ascii="仿宋_GB2312" w:eastAsia="仿宋_GB2312"/>
          <w:color w:val="000000"/>
          <w:sz w:val="32"/>
          <w:szCs w:val="32"/>
          <w:highlight w:val="yellow"/>
        </w:rPr>
      </w:pPr>
      <w:r>
        <w:rPr>
          <w:rFonts w:hint="eastAsia" w:ascii="仿宋_GB2312" w:hAnsi="仿宋_GB2312" w:eastAsia="仿宋_GB2312" w:cs="仿宋_GB2312"/>
          <w:color w:val="000000"/>
          <w:sz w:val="32"/>
          <w:szCs w:val="32"/>
          <w:highlight w:val="none"/>
        </w:rPr>
        <w:t>丽水市莲都区人民法院审判保障服务中心</w:t>
      </w:r>
      <w:r>
        <w:rPr>
          <w:rFonts w:hint="eastAsia" w:ascii="仿宋_GB2312" w:hAnsi="仿宋_GB2312" w:eastAsia="仿宋_GB2312" w:cs="仿宋_GB2312"/>
          <w:color w:val="000000"/>
          <w:sz w:val="32"/>
          <w:szCs w:val="32"/>
          <w:highlight w:val="none"/>
          <w:lang w:eastAsia="zh-CN"/>
        </w:rPr>
        <w:t>2025年</w:t>
      </w:r>
      <w:r>
        <w:rPr>
          <w:rFonts w:hint="eastAsia" w:ascii="仿宋_GB2312" w:hAnsi="仿宋_GB2312" w:eastAsia="仿宋_GB2312" w:cs="仿宋_GB2312"/>
          <w:color w:val="000000"/>
          <w:sz w:val="32"/>
          <w:szCs w:val="32"/>
          <w:highlight w:val="none"/>
        </w:rPr>
        <w:t>收入预算560.24万元，比上年执行数减少</w:t>
      </w:r>
      <w:r>
        <w:rPr>
          <w:rFonts w:hint="eastAsia" w:ascii="仿宋_GB2312" w:hAnsi="仿宋_GB2312" w:eastAsia="仿宋_GB2312" w:cs="仿宋_GB2312"/>
          <w:color w:val="000000"/>
          <w:sz w:val="32"/>
          <w:szCs w:val="32"/>
          <w:highlight w:val="none"/>
          <w:lang w:val="en-US" w:eastAsia="zh-CN"/>
        </w:rPr>
        <w:t>2.13</w:t>
      </w:r>
      <w:r>
        <w:rPr>
          <w:rFonts w:hint="eastAsia" w:ascii="仿宋_GB2312" w:hAnsi="仿宋_GB2312" w:eastAsia="仿宋_GB2312" w:cs="仿宋_GB2312"/>
          <w:color w:val="000000"/>
          <w:sz w:val="32"/>
          <w:szCs w:val="32"/>
          <w:highlight w:val="none"/>
        </w:rPr>
        <w:t>万元，下</w:t>
      </w:r>
      <w:r>
        <w:rPr>
          <w:rFonts w:hint="eastAsia" w:ascii="仿宋_GB2312" w:hAnsi="仿宋_GB2312" w:eastAsia="仿宋_GB2312" w:cs="仿宋_GB2312"/>
          <w:color w:val="000000"/>
          <w:sz w:val="32"/>
          <w:highlight w:val="none"/>
        </w:rPr>
        <w:t>降</w:t>
      </w:r>
      <w:r>
        <w:rPr>
          <w:rFonts w:hint="eastAsia" w:ascii="仿宋_GB2312" w:hAnsi="仿宋_GB2312" w:eastAsia="仿宋_GB2312" w:cs="仿宋_GB2312"/>
          <w:color w:val="000000"/>
          <w:sz w:val="32"/>
          <w:highlight w:val="none"/>
          <w:lang w:val="en-US" w:eastAsia="zh-CN"/>
        </w:rPr>
        <w:t>0.38</w:t>
      </w:r>
      <w:r>
        <w:rPr>
          <w:rFonts w:hint="eastAsia" w:ascii="仿宋_GB2312" w:hAnsi="仿宋_GB2312" w:eastAsia="仿宋_GB2312" w:cs="仿宋_GB2312"/>
          <w:color w:val="000000"/>
          <w:sz w:val="32"/>
          <w:highlight w:val="none"/>
        </w:rPr>
        <w:t>%，</w:t>
      </w:r>
      <w:r>
        <w:rPr>
          <w:rFonts w:hint="eastAsia" w:ascii="仿宋_GB2312" w:hAnsi="仿宋_GB2312" w:eastAsia="仿宋_GB2312" w:cs="仿宋_GB2312"/>
          <w:color w:val="000000"/>
          <w:sz w:val="32"/>
          <w:szCs w:val="32"/>
          <w:highlight w:val="none"/>
        </w:rPr>
        <w:t>主要是</w:t>
      </w:r>
      <w:r>
        <w:rPr>
          <w:rFonts w:hint="eastAsia" w:ascii="仿宋_GB2312" w:hAnsi="仿宋_GB2312" w:eastAsia="仿宋_GB2312" w:cs="仿宋_GB2312"/>
          <w:color w:val="000000"/>
          <w:sz w:val="32"/>
          <w:szCs w:val="32"/>
          <w:highlight w:val="none"/>
          <w:lang w:eastAsia="zh-CN"/>
        </w:rPr>
        <w:t>人均公用经费减少</w:t>
      </w:r>
      <w:r>
        <w:rPr>
          <w:rFonts w:hint="eastAsia" w:ascii="仿宋_GB2312" w:hAnsi="仿宋_GB2312" w:eastAsia="仿宋_GB2312" w:cs="仿宋_GB2312"/>
          <w:color w:val="000000"/>
          <w:sz w:val="32"/>
          <w:szCs w:val="32"/>
          <w:highlight w:val="none"/>
        </w:rPr>
        <w:t>。</w:t>
      </w:r>
    </w:p>
    <w:p>
      <w:pPr>
        <w:spacing w:line="520" w:lineRule="exact"/>
        <w:ind w:firstLine="642"/>
        <w:rPr>
          <w:rFonts w:ascii="仿宋_GB2312" w:eastAsia="仿宋_GB2312"/>
          <w:color w:val="000000"/>
          <w:sz w:val="32"/>
          <w:szCs w:val="32"/>
          <w:highlight w:val="none"/>
        </w:rPr>
      </w:pPr>
      <w:r>
        <w:rPr>
          <w:rFonts w:hint="eastAsia" w:ascii="仿宋_GB2312" w:eastAsia="仿宋_GB2312"/>
          <w:color w:val="000000"/>
          <w:sz w:val="32"/>
          <w:szCs w:val="32"/>
        </w:rPr>
        <w:t>其中：一般公共预算拨款收入</w:t>
      </w:r>
      <w:r>
        <w:rPr>
          <w:rFonts w:ascii="仿宋_GB2312" w:eastAsia="仿宋_GB2312"/>
          <w:color w:val="000000"/>
          <w:sz w:val="32"/>
          <w:szCs w:val="32"/>
        </w:rPr>
        <w:t>560.24</w:t>
      </w:r>
      <w:r>
        <w:rPr>
          <w:rFonts w:hint="eastAsia" w:ascii="仿宋_GB2312" w:eastAsia="仿宋_GB2312"/>
          <w:color w:val="000000"/>
          <w:sz w:val="32"/>
          <w:szCs w:val="32"/>
        </w:rPr>
        <w:t>万元（上年结转0.00万元），占100.0%。</w:t>
      </w:r>
      <w:r>
        <w:rPr>
          <w:rFonts w:hint="eastAsia" w:ascii="仿宋_GB2312" w:eastAsia="仿宋_GB2312"/>
          <w:color w:val="000000"/>
          <w:sz w:val="32"/>
          <w:szCs w:val="32"/>
        </w:rPr>
        <w:br w:type="textWrapping"/>
      </w:r>
      <w:r>
        <w:rPr>
          <w:rFonts w:hint="eastAsia" w:ascii="楷体_GB2312" w:hAnsi="楷体_GB2312" w:eastAsia="楷体_GB2312" w:cs="楷体_GB2312"/>
          <w:bCs/>
          <w:color w:val="000000"/>
          <w:sz w:val="32"/>
          <w:szCs w:val="32"/>
        </w:rPr>
        <w:t>　　（三）关于丽水市莲都区人民法院审判保障服务中心</w:t>
      </w:r>
      <w:r>
        <w:rPr>
          <w:rFonts w:hint="eastAsia" w:ascii="楷体_GB2312" w:hAnsi="楷体_GB2312" w:eastAsia="楷体_GB2312" w:cs="楷体_GB2312"/>
          <w:bCs/>
          <w:color w:val="000000"/>
          <w:sz w:val="32"/>
          <w:szCs w:val="32"/>
          <w:lang w:eastAsia="zh-CN"/>
        </w:rPr>
        <w:t>2025年</w:t>
      </w:r>
      <w:r>
        <w:rPr>
          <w:rFonts w:hint="eastAsia" w:ascii="楷体_GB2312" w:hAnsi="楷体_GB2312" w:eastAsia="楷体_GB2312" w:cs="楷体_GB2312"/>
          <w:bCs/>
          <w:color w:val="000000"/>
          <w:sz w:val="32"/>
          <w:szCs w:val="32"/>
        </w:rPr>
        <w:t>支出预算情况说明</w:t>
      </w:r>
      <w:r>
        <w:rPr>
          <w:rFonts w:hint="eastAsia" w:ascii="楷体_GB2312" w:hAnsi="楷体_GB2312" w:eastAsia="楷体_GB2312" w:cs="楷体_GB2312"/>
          <w:bCs/>
          <w:color w:val="000000"/>
          <w:sz w:val="32"/>
          <w:szCs w:val="32"/>
        </w:rPr>
        <w:br w:type="textWrapping"/>
      </w:r>
      <w:r>
        <w:rPr>
          <w:rFonts w:hint="eastAsia" w:ascii="仿宋_GB2312" w:eastAsia="仿宋_GB2312"/>
          <w:color w:val="000000"/>
          <w:sz w:val="32"/>
          <w:szCs w:val="32"/>
        </w:rPr>
        <w:t>　</w:t>
      </w:r>
      <w:r>
        <w:rPr>
          <w:rFonts w:hint="eastAsia" w:ascii="仿宋_GB2312" w:hAnsi="仿宋_GB2312" w:eastAsia="仿宋_GB2312" w:cs="仿宋_GB2312"/>
          <w:color w:val="000000"/>
          <w:sz w:val="32"/>
          <w:szCs w:val="32"/>
        </w:rPr>
        <w:t>　</w:t>
      </w:r>
      <w:r>
        <w:rPr>
          <w:rFonts w:hint="eastAsia" w:ascii="仿宋_GB2312" w:hAnsi="仿宋_GB2312" w:eastAsia="仿宋_GB2312" w:cs="仿宋_GB2312"/>
          <w:color w:val="000000"/>
          <w:sz w:val="32"/>
          <w:szCs w:val="32"/>
          <w:highlight w:val="none"/>
        </w:rPr>
        <w:t>丽水市莲都区人民法院审判保障服务中心</w:t>
      </w:r>
      <w:r>
        <w:rPr>
          <w:rFonts w:hint="eastAsia" w:ascii="仿宋_GB2312" w:hAnsi="仿宋_GB2312" w:eastAsia="仿宋_GB2312" w:cs="仿宋_GB2312"/>
          <w:color w:val="000000"/>
          <w:sz w:val="32"/>
          <w:szCs w:val="32"/>
          <w:highlight w:val="none"/>
          <w:lang w:eastAsia="zh-CN"/>
        </w:rPr>
        <w:t>2025年</w:t>
      </w:r>
      <w:r>
        <w:rPr>
          <w:rFonts w:hint="eastAsia" w:ascii="仿宋_GB2312" w:hAnsi="仿宋_GB2312" w:eastAsia="仿宋_GB2312" w:cs="仿宋_GB2312"/>
          <w:color w:val="000000"/>
          <w:sz w:val="32"/>
          <w:szCs w:val="32"/>
          <w:highlight w:val="none"/>
        </w:rPr>
        <w:t>支出预算560.24万元，比上年执行数减少</w:t>
      </w:r>
      <w:r>
        <w:rPr>
          <w:rFonts w:hint="eastAsia" w:ascii="仿宋_GB2312" w:hAnsi="仿宋_GB2312" w:eastAsia="仿宋_GB2312" w:cs="仿宋_GB2312"/>
          <w:color w:val="000000"/>
          <w:sz w:val="32"/>
          <w:szCs w:val="32"/>
          <w:highlight w:val="none"/>
          <w:lang w:val="en-US" w:eastAsia="zh-CN"/>
        </w:rPr>
        <w:t>2.13</w:t>
      </w:r>
      <w:r>
        <w:rPr>
          <w:rFonts w:hint="eastAsia" w:ascii="仿宋_GB2312" w:hAnsi="仿宋_GB2312" w:eastAsia="仿宋_GB2312" w:cs="仿宋_GB2312"/>
          <w:color w:val="000000"/>
          <w:sz w:val="32"/>
          <w:szCs w:val="32"/>
          <w:highlight w:val="none"/>
        </w:rPr>
        <w:t>万元，</w:t>
      </w:r>
      <w:r>
        <w:rPr>
          <w:rFonts w:hint="eastAsia" w:ascii="仿宋_GB2312" w:hAnsi="仿宋_GB2312" w:eastAsia="仿宋_GB2312" w:cs="仿宋_GB2312"/>
          <w:color w:val="000000"/>
          <w:sz w:val="32"/>
          <w:highlight w:val="none"/>
        </w:rPr>
        <w:t>下降</w:t>
      </w:r>
      <w:r>
        <w:rPr>
          <w:rFonts w:hint="eastAsia" w:ascii="仿宋_GB2312" w:hAnsi="仿宋_GB2312" w:eastAsia="仿宋_GB2312" w:cs="仿宋_GB2312"/>
          <w:color w:val="000000"/>
          <w:sz w:val="32"/>
          <w:highlight w:val="none"/>
          <w:lang w:val="en-US" w:eastAsia="zh-CN"/>
        </w:rPr>
        <w:t>0.38</w:t>
      </w:r>
      <w:r>
        <w:rPr>
          <w:rFonts w:hint="eastAsia" w:ascii="仿宋_GB2312" w:hAnsi="仿宋_GB2312" w:eastAsia="仿宋_GB2312" w:cs="仿宋_GB2312"/>
          <w:color w:val="000000"/>
          <w:sz w:val="32"/>
          <w:highlight w:val="none"/>
        </w:rPr>
        <w:t>%，</w:t>
      </w:r>
      <w:r>
        <w:rPr>
          <w:rFonts w:hint="eastAsia" w:ascii="仿宋_GB2312" w:hAnsi="仿宋_GB2312" w:eastAsia="仿宋_GB2312" w:cs="仿宋_GB2312"/>
          <w:color w:val="000000"/>
          <w:sz w:val="32"/>
          <w:szCs w:val="32"/>
          <w:highlight w:val="none"/>
        </w:rPr>
        <w:t>主要是</w:t>
      </w:r>
      <w:r>
        <w:rPr>
          <w:rFonts w:hint="eastAsia" w:ascii="仿宋_GB2312" w:hAnsi="仿宋_GB2312" w:eastAsia="仿宋_GB2312" w:cs="仿宋_GB2312"/>
          <w:color w:val="000000"/>
          <w:sz w:val="32"/>
          <w:szCs w:val="32"/>
          <w:highlight w:val="none"/>
          <w:lang w:eastAsia="zh-CN"/>
        </w:rPr>
        <w:t>人均公用经费减少</w:t>
      </w:r>
      <w:r>
        <w:rPr>
          <w:rFonts w:hint="eastAsia" w:ascii="仿宋_GB2312" w:hAnsi="仿宋_GB2312" w:eastAsia="仿宋_GB2312" w:cs="仿宋_GB2312"/>
          <w:color w:val="000000"/>
          <w:sz w:val="32"/>
          <w:szCs w:val="32"/>
          <w:highlight w:val="none"/>
        </w:rPr>
        <w:t>。</w:t>
      </w:r>
    </w:p>
    <w:p>
      <w:pPr>
        <w:spacing w:line="520" w:lineRule="exact"/>
        <w:ind w:firstLine="630"/>
        <w:rPr>
          <w:rFonts w:ascii="仿宋_GB2312" w:eastAsia="仿宋_GB2312"/>
          <w:color w:val="auto"/>
          <w:sz w:val="32"/>
          <w:szCs w:val="32"/>
        </w:rPr>
      </w:pPr>
      <w:r>
        <w:rPr>
          <w:rFonts w:hint="eastAsia" w:ascii="仿宋_GB2312" w:eastAsia="仿宋_GB2312"/>
          <w:color w:val="auto"/>
          <w:sz w:val="32"/>
          <w:szCs w:val="32"/>
        </w:rPr>
        <w:t>1.按支出功能分类，包括公共安全支出421.09万元、社会保障和就业支出45.58万元、卫生健康支出28.61万元、住房保障支出64.96万元。</w:t>
      </w:r>
    </w:p>
    <w:p>
      <w:pPr>
        <w:spacing w:line="520" w:lineRule="exact"/>
        <w:ind w:firstLine="642"/>
        <w:rPr>
          <w:rFonts w:ascii="仿宋_GB2312" w:eastAsia="仿宋_GB2312"/>
          <w:color w:val="000000"/>
          <w:sz w:val="32"/>
          <w:szCs w:val="32"/>
        </w:rPr>
      </w:pPr>
      <w:r>
        <w:rPr>
          <w:rFonts w:hint="eastAsia" w:ascii="仿宋_GB2312" w:eastAsia="仿宋_GB2312"/>
          <w:color w:val="000000"/>
          <w:sz w:val="32"/>
          <w:szCs w:val="32"/>
        </w:rPr>
        <w:t>2.按支出用途分类，包括人员支出521.34万元，占93.1%；日常公用支出38.91万元，占6.9%。</w:t>
      </w:r>
    </w:p>
    <w:p>
      <w:pPr>
        <w:spacing w:line="520" w:lineRule="exact"/>
        <w:ind w:firstLine="642"/>
        <w:rPr>
          <w:rFonts w:ascii="仿宋_GB2312" w:eastAsia="仿宋_GB2312"/>
          <w:color w:val="000000"/>
          <w:sz w:val="32"/>
          <w:szCs w:val="32"/>
        </w:rPr>
      </w:pPr>
      <w:r>
        <w:rPr>
          <w:rFonts w:hint="eastAsia" w:ascii="仿宋_GB2312" w:eastAsia="仿宋_GB2312"/>
          <w:color w:val="000000"/>
          <w:sz w:val="32"/>
          <w:szCs w:val="32"/>
        </w:rPr>
        <w:t>年终结转结余0.00万元。</w:t>
      </w:r>
    </w:p>
    <w:p>
      <w:pPr>
        <w:spacing w:line="520" w:lineRule="exact"/>
        <w:ind w:firstLine="627" w:firstLineChars="196"/>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（四）关于丽水市莲都区人民法院审判保障服务中心</w:t>
      </w:r>
      <w:r>
        <w:rPr>
          <w:rFonts w:hint="eastAsia" w:ascii="楷体_GB2312" w:hAnsi="楷体_GB2312" w:eastAsia="楷体_GB2312" w:cs="楷体_GB2312"/>
          <w:bCs/>
          <w:color w:val="000000"/>
          <w:sz w:val="32"/>
          <w:szCs w:val="32"/>
          <w:lang w:eastAsia="zh-CN"/>
        </w:rPr>
        <w:t>2025年</w:t>
      </w:r>
      <w:r>
        <w:rPr>
          <w:rFonts w:hint="eastAsia" w:ascii="楷体_GB2312" w:hAnsi="楷体_GB2312" w:eastAsia="楷体_GB2312" w:cs="楷体_GB2312"/>
          <w:bCs/>
          <w:color w:val="000000"/>
          <w:sz w:val="32"/>
          <w:szCs w:val="32"/>
        </w:rPr>
        <w:t>财政拨款收支预算情况的总体说明</w:t>
      </w:r>
    </w:p>
    <w:p>
      <w:pPr>
        <w:spacing w:line="520" w:lineRule="exact"/>
        <w:ind w:firstLine="640"/>
        <w:rPr>
          <w:rFonts w:ascii="仿宋_GB2312" w:eastAsia="仿宋_GB2312"/>
          <w:color w:val="000000"/>
          <w:sz w:val="32"/>
          <w:szCs w:val="32"/>
        </w:rPr>
      </w:pPr>
      <w:r>
        <w:rPr>
          <w:rFonts w:hint="eastAsia" w:ascii="仿宋_GB2312" w:eastAsia="仿宋_GB2312"/>
          <w:color w:val="000000"/>
          <w:sz w:val="32"/>
          <w:szCs w:val="32"/>
        </w:rPr>
        <w:t>丽水市莲都区人民法院审判保障服务中心</w:t>
      </w:r>
      <w:r>
        <w:rPr>
          <w:rFonts w:hint="eastAsia" w:ascii="仿宋_GB2312" w:eastAsia="仿宋_GB2312"/>
          <w:color w:val="000000"/>
          <w:sz w:val="32"/>
          <w:szCs w:val="32"/>
          <w:lang w:eastAsia="zh-CN"/>
        </w:rPr>
        <w:t>2025年</w:t>
      </w:r>
      <w:r>
        <w:rPr>
          <w:rFonts w:hint="eastAsia" w:ascii="仿宋_GB2312" w:eastAsia="仿宋_GB2312"/>
          <w:color w:val="000000"/>
          <w:sz w:val="32"/>
          <w:szCs w:val="32"/>
        </w:rPr>
        <w:t>财政拨款收支总预算560.24万元。收入包括：一般公共预算560.24万元；支出包括：公共安全支出421.09万元、社会保障和就业支出45.58万元、卫生健康支出28.61万元、住房保障支出64.96万元。</w:t>
      </w:r>
    </w:p>
    <w:p>
      <w:pPr>
        <w:numPr>
          <w:ilvl w:val="0"/>
          <w:numId w:val="1"/>
        </w:numPr>
        <w:spacing w:line="520" w:lineRule="exact"/>
        <w:ind w:firstLine="640"/>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关于丽水市莲都区人民法院审判保障服务中心</w:t>
      </w:r>
      <w:r>
        <w:rPr>
          <w:rFonts w:hint="eastAsia" w:ascii="楷体_GB2312" w:hAnsi="楷体_GB2312" w:eastAsia="楷体_GB2312" w:cs="楷体_GB2312"/>
          <w:bCs/>
          <w:color w:val="000000"/>
          <w:sz w:val="32"/>
          <w:szCs w:val="32"/>
          <w:lang w:eastAsia="zh-CN"/>
        </w:rPr>
        <w:t>2025年</w:t>
      </w:r>
      <w:r>
        <w:rPr>
          <w:rFonts w:hint="eastAsia" w:ascii="楷体_GB2312" w:hAnsi="楷体_GB2312" w:eastAsia="楷体_GB2312" w:cs="楷体_GB2312"/>
          <w:bCs/>
          <w:color w:val="000000"/>
          <w:sz w:val="32"/>
          <w:szCs w:val="32"/>
        </w:rPr>
        <w:t>一般公共预算拨款情况说明</w:t>
      </w:r>
    </w:p>
    <w:p>
      <w:pPr>
        <w:spacing w:line="520" w:lineRule="exact"/>
        <w:ind w:firstLine="642"/>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1.一般公共预算拨款规模变化情况。</w:t>
      </w:r>
    </w:p>
    <w:p>
      <w:pPr>
        <w:spacing w:line="520" w:lineRule="exact"/>
        <w:ind w:firstLine="642"/>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丽水市莲都区人民法院审判保障服务中心</w:t>
      </w:r>
      <w:r>
        <w:rPr>
          <w:rFonts w:hint="eastAsia" w:ascii="仿宋_GB2312" w:hAnsi="仿宋_GB2312" w:eastAsia="仿宋_GB2312" w:cs="仿宋_GB2312"/>
          <w:color w:val="000000"/>
          <w:sz w:val="32"/>
          <w:szCs w:val="32"/>
          <w:highlight w:val="none"/>
          <w:lang w:eastAsia="zh-CN"/>
        </w:rPr>
        <w:t>2025年</w:t>
      </w:r>
      <w:r>
        <w:rPr>
          <w:rFonts w:hint="eastAsia" w:ascii="仿宋_GB2312" w:hAnsi="仿宋_GB2312" w:eastAsia="仿宋_GB2312" w:cs="仿宋_GB2312"/>
          <w:color w:val="000000"/>
          <w:sz w:val="32"/>
          <w:szCs w:val="32"/>
          <w:highlight w:val="none"/>
        </w:rPr>
        <w:t>一般公共预算拨款</w:t>
      </w:r>
      <w:r>
        <w:rPr>
          <w:rFonts w:hint="eastAsia" w:ascii="仿宋_GB2312" w:hAnsi="仿宋_GB2312" w:eastAsia="仿宋_GB2312" w:cs="仿宋_GB2312"/>
          <w:bCs/>
          <w:color w:val="000000"/>
          <w:sz w:val="32"/>
          <w:szCs w:val="32"/>
          <w:highlight w:val="none"/>
        </w:rPr>
        <w:t>560.24</w:t>
      </w:r>
      <w:r>
        <w:rPr>
          <w:rFonts w:hint="eastAsia" w:ascii="仿宋_GB2312" w:hAnsi="仿宋_GB2312" w:eastAsia="仿宋_GB2312" w:cs="仿宋_GB2312"/>
          <w:color w:val="000000"/>
          <w:sz w:val="32"/>
          <w:szCs w:val="32"/>
          <w:highlight w:val="none"/>
        </w:rPr>
        <w:t>万元，比上年执行数减少</w:t>
      </w:r>
      <w:r>
        <w:rPr>
          <w:rFonts w:hint="eastAsia" w:ascii="仿宋_GB2312" w:hAnsi="仿宋_GB2312" w:eastAsia="仿宋_GB2312" w:cs="仿宋_GB2312"/>
          <w:color w:val="000000"/>
          <w:sz w:val="32"/>
          <w:szCs w:val="32"/>
          <w:highlight w:val="none"/>
          <w:lang w:val="en-US" w:eastAsia="zh-CN"/>
        </w:rPr>
        <w:t>2.13</w:t>
      </w:r>
      <w:r>
        <w:rPr>
          <w:rFonts w:hint="eastAsia" w:ascii="仿宋_GB2312" w:hAnsi="仿宋_GB2312" w:eastAsia="仿宋_GB2312" w:cs="仿宋_GB2312"/>
          <w:color w:val="000000"/>
          <w:sz w:val="32"/>
          <w:szCs w:val="32"/>
          <w:highlight w:val="none"/>
        </w:rPr>
        <w:t>万元，下</w:t>
      </w:r>
      <w:r>
        <w:rPr>
          <w:rFonts w:hint="eastAsia" w:ascii="仿宋_GB2312" w:hAnsi="仿宋_GB2312" w:eastAsia="仿宋_GB2312" w:cs="仿宋_GB2312"/>
          <w:color w:val="000000"/>
          <w:sz w:val="32"/>
          <w:highlight w:val="none"/>
        </w:rPr>
        <w:t>降</w:t>
      </w:r>
      <w:r>
        <w:rPr>
          <w:rFonts w:hint="eastAsia" w:ascii="仿宋_GB2312" w:hAnsi="仿宋_GB2312" w:eastAsia="仿宋_GB2312" w:cs="仿宋_GB2312"/>
          <w:color w:val="000000"/>
          <w:sz w:val="32"/>
          <w:highlight w:val="none"/>
          <w:lang w:val="en-US" w:eastAsia="zh-CN"/>
        </w:rPr>
        <w:t>0.38</w:t>
      </w:r>
      <w:r>
        <w:rPr>
          <w:rFonts w:hint="eastAsia" w:ascii="仿宋_GB2312" w:hAnsi="仿宋_GB2312" w:eastAsia="仿宋_GB2312" w:cs="仿宋_GB2312"/>
          <w:color w:val="000000"/>
          <w:sz w:val="32"/>
          <w:highlight w:val="none"/>
        </w:rPr>
        <w:t>%，</w:t>
      </w:r>
      <w:r>
        <w:rPr>
          <w:rFonts w:hint="eastAsia" w:ascii="仿宋_GB2312" w:hAnsi="仿宋_GB2312" w:eastAsia="仿宋_GB2312" w:cs="仿宋_GB2312"/>
          <w:color w:val="000000"/>
          <w:sz w:val="32"/>
          <w:szCs w:val="32"/>
          <w:highlight w:val="none"/>
        </w:rPr>
        <w:t>主要是</w:t>
      </w:r>
      <w:r>
        <w:rPr>
          <w:rFonts w:hint="eastAsia" w:ascii="仿宋_GB2312" w:hAnsi="仿宋_GB2312" w:eastAsia="仿宋_GB2312" w:cs="仿宋_GB2312"/>
          <w:color w:val="000000"/>
          <w:sz w:val="32"/>
          <w:szCs w:val="32"/>
          <w:highlight w:val="none"/>
          <w:lang w:eastAsia="zh-CN"/>
        </w:rPr>
        <w:t>人均公用经费减少</w:t>
      </w:r>
      <w:r>
        <w:rPr>
          <w:rFonts w:hint="eastAsia" w:ascii="仿宋_GB2312" w:hAnsi="仿宋_GB2312" w:eastAsia="仿宋_GB2312" w:cs="仿宋_GB2312"/>
          <w:color w:val="000000"/>
          <w:sz w:val="32"/>
          <w:szCs w:val="32"/>
          <w:highlight w:val="none"/>
        </w:rPr>
        <w:t>。</w:t>
      </w:r>
    </w:p>
    <w:p>
      <w:pPr>
        <w:spacing w:line="520" w:lineRule="exact"/>
        <w:ind w:firstLine="642"/>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2.一般公共预算拨款结构情况。</w:t>
      </w:r>
    </w:p>
    <w:p>
      <w:pPr>
        <w:spacing w:line="520" w:lineRule="exact"/>
        <w:ind w:firstLine="640" w:firstLineChars="200"/>
        <w:rPr>
          <w:rFonts w:ascii="仿宋_GB2312" w:hAnsi="仿宋_GB2312" w:eastAsia="仿宋_GB2312" w:cs="仿宋_GB2312"/>
          <w:b/>
          <w:color w:val="000000"/>
          <w:sz w:val="32"/>
          <w:szCs w:val="32"/>
        </w:rPr>
      </w:pPr>
      <w:r>
        <w:rPr>
          <w:rFonts w:hint="eastAsia" w:ascii="仿宋_GB2312" w:hAnsi="仿宋_GB2312" w:eastAsia="仿宋_GB2312" w:cs="仿宋_GB2312"/>
          <w:color w:val="000000"/>
          <w:sz w:val="32"/>
          <w:szCs w:val="32"/>
        </w:rPr>
        <w:t>公共安全支出421.09万元，占75.2%；社会保障和就业支出45.58万元，占8.1%；卫生健康支出28.61万元，占5.1%；住房保障支出64.96万元，占11.6%。</w:t>
      </w:r>
    </w:p>
    <w:p>
      <w:pPr>
        <w:spacing w:line="520" w:lineRule="exact"/>
        <w:ind w:firstLine="642"/>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3.一般公共预算拨款具体使用情况。</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0" w:firstLineChars="200"/>
        <w:textAlignment w:val="auto"/>
        <w:outlineLvl w:val="9"/>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（1）公共安全支出（类）法院（款）事业运行（项）</w:t>
      </w:r>
      <w:r>
        <w:rPr>
          <w:rFonts w:hint="eastAsia" w:ascii="仿宋_GB2312" w:hAnsi="仿宋_GB2312" w:eastAsia="仿宋_GB2312" w:cs="仿宋_GB2312"/>
          <w:color w:val="000000"/>
          <w:sz w:val="32"/>
          <w:szCs w:val="32"/>
          <w:highlight w:val="none"/>
          <w:lang w:val="en-US" w:eastAsia="zh-CN"/>
        </w:rPr>
        <w:t>421.09</w:t>
      </w:r>
      <w:r>
        <w:rPr>
          <w:rFonts w:hint="eastAsia" w:ascii="仿宋_GB2312" w:hAnsi="仿宋_GB2312" w:eastAsia="仿宋_GB2312" w:cs="仿宋_GB2312"/>
          <w:color w:val="000000"/>
          <w:sz w:val="32"/>
          <w:szCs w:val="32"/>
          <w:highlight w:val="none"/>
          <w:lang w:eastAsia="zh-CN"/>
        </w:rPr>
        <w:t>万元，主要用于莲都区人民法院审判保障服务中心正常运行，完成日常工作任务所发生的人员支出及日常运行公用经费等基本支出。</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0" w:firstLineChars="200"/>
        <w:textAlignment w:val="auto"/>
        <w:outlineLvl w:val="9"/>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2</w:t>
      </w:r>
      <w:r>
        <w:rPr>
          <w:rFonts w:hint="eastAsia" w:ascii="仿宋_GB2312" w:hAnsi="仿宋_GB2312" w:eastAsia="仿宋_GB2312" w:cs="仿宋_GB2312"/>
          <w:color w:val="000000"/>
          <w:sz w:val="32"/>
          <w:szCs w:val="32"/>
          <w:highlight w:val="none"/>
          <w:lang w:eastAsia="zh-CN"/>
        </w:rPr>
        <w:t>）社会保障和就业支出（类）行政事业单位养老支出（款）机关事业单位基本养老保险缴费支出（项）</w:t>
      </w:r>
      <w:r>
        <w:rPr>
          <w:rFonts w:hint="eastAsia" w:ascii="仿宋_GB2312" w:hAnsi="仿宋_GB2312" w:eastAsia="仿宋_GB2312" w:cs="仿宋_GB2312"/>
          <w:color w:val="000000"/>
          <w:sz w:val="32"/>
          <w:szCs w:val="32"/>
          <w:highlight w:val="none"/>
          <w:lang w:val="en-US" w:eastAsia="zh-CN"/>
        </w:rPr>
        <w:t>29.1</w:t>
      </w:r>
      <w:r>
        <w:rPr>
          <w:rFonts w:hint="eastAsia" w:ascii="仿宋_GB2312" w:hAnsi="仿宋_GB2312" w:eastAsia="仿宋_GB2312" w:cs="仿宋_GB2312"/>
          <w:color w:val="000000"/>
          <w:sz w:val="32"/>
          <w:szCs w:val="32"/>
          <w:highlight w:val="none"/>
          <w:lang w:eastAsia="zh-CN"/>
        </w:rPr>
        <w:t>万元,主要用于莲都区人民法院审判保障服务中心缴纳的基本养老保险费支出。</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0" w:firstLineChars="200"/>
        <w:textAlignment w:val="auto"/>
        <w:outlineLvl w:val="9"/>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3</w:t>
      </w:r>
      <w:r>
        <w:rPr>
          <w:rFonts w:hint="eastAsia" w:ascii="仿宋_GB2312" w:hAnsi="仿宋_GB2312" w:eastAsia="仿宋_GB2312" w:cs="仿宋_GB2312"/>
          <w:color w:val="000000"/>
          <w:sz w:val="32"/>
          <w:szCs w:val="32"/>
          <w:highlight w:val="none"/>
          <w:lang w:eastAsia="zh-CN"/>
        </w:rPr>
        <w:t>）社会保障和就业支出（类）行政事业单位养老支出（款）机关事业单位职业年金缴费支出（项）</w:t>
      </w:r>
      <w:r>
        <w:rPr>
          <w:rFonts w:hint="eastAsia" w:ascii="仿宋_GB2312" w:hAnsi="仿宋_GB2312" w:eastAsia="仿宋_GB2312" w:cs="仿宋_GB2312"/>
          <w:color w:val="000000"/>
          <w:sz w:val="32"/>
          <w:szCs w:val="32"/>
          <w:highlight w:val="none"/>
          <w:lang w:val="en-US" w:eastAsia="zh-CN"/>
        </w:rPr>
        <w:t>14.55</w:t>
      </w:r>
      <w:r>
        <w:rPr>
          <w:rFonts w:hint="eastAsia" w:ascii="仿宋_GB2312" w:hAnsi="仿宋_GB2312" w:eastAsia="仿宋_GB2312" w:cs="仿宋_GB2312"/>
          <w:color w:val="000000"/>
          <w:sz w:val="32"/>
          <w:szCs w:val="32"/>
          <w:highlight w:val="none"/>
          <w:lang w:eastAsia="zh-CN"/>
        </w:rPr>
        <w:t>万元,主要用于莲都区人民法院审判保障服务中心实际缴纳职业年金支出。</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0" w:firstLineChars="200"/>
        <w:textAlignment w:val="auto"/>
        <w:outlineLvl w:val="9"/>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4</w:t>
      </w:r>
      <w:r>
        <w:rPr>
          <w:rFonts w:hint="eastAsia" w:ascii="仿宋_GB2312" w:hAnsi="仿宋_GB2312" w:eastAsia="仿宋_GB2312" w:cs="仿宋_GB2312"/>
          <w:color w:val="000000"/>
          <w:sz w:val="32"/>
          <w:szCs w:val="32"/>
          <w:highlight w:val="none"/>
          <w:lang w:eastAsia="zh-CN"/>
        </w:rPr>
        <w:t>）社会保障和就业支出（类）行政事业单位养老支出（款）其他行政事业单位养老支出（项）</w:t>
      </w:r>
      <w:r>
        <w:rPr>
          <w:rFonts w:hint="eastAsia" w:ascii="仿宋_GB2312" w:hAnsi="仿宋_GB2312" w:eastAsia="仿宋_GB2312" w:cs="仿宋_GB2312"/>
          <w:color w:val="000000"/>
          <w:sz w:val="32"/>
          <w:szCs w:val="32"/>
          <w:highlight w:val="none"/>
          <w:lang w:val="en-US" w:eastAsia="zh-CN"/>
        </w:rPr>
        <w:t>1.92</w:t>
      </w:r>
      <w:r>
        <w:rPr>
          <w:rFonts w:hint="eastAsia" w:ascii="仿宋_GB2312" w:hAnsi="仿宋_GB2312" w:eastAsia="仿宋_GB2312" w:cs="仿宋_GB2312"/>
          <w:color w:val="000000"/>
          <w:sz w:val="32"/>
          <w:szCs w:val="32"/>
          <w:highlight w:val="none"/>
          <w:lang w:eastAsia="zh-CN"/>
        </w:rPr>
        <w:t>万元，主要用于莲都区人民法院审判保障服务中心退休人员综合生活补助及活动费支出。</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0" w:firstLineChars="200"/>
        <w:textAlignment w:val="auto"/>
        <w:outlineLvl w:val="9"/>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5</w:t>
      </w:r>
      <w:r>
        <w:rPr>
          <w:rFonts w:hint="eastAsia" w:ascii="仿宋_GB2312" w:hAnsi="仿宋_GB2312" w:eastAsia="仿宋_GB2312" w:cs="仿宋_GB2312"/>
          <w:color w:val="000000"/>
          <w:sz w:val="32"/>
          <w:szCs w:val="32"/>
          <w:highlight w:val="none"/>
          <w:lang w:eastAsia="zh-CN"/>
        </w:rPr>
        <w:t>）卫生健康支出（类）行政事业单位医疗（款）事业单位医疗（项）</w:t>
      </w:r>
      <w:r>
        <w:rPr>
          <w:rFonts w:hint="eastAsia" w:ascii="仿宋_GB2312" w:hAnsi="仿宋_GB2312" w:eastAsia="仿宋_GB2312" w:cs="仿宋_GB2312"/>
          <w:color w:val="000000"/>
          <w:sz w:val="32"/>
          <w:szCs w:val="32"/>
          <w:highlight w:val="none"/>
          <w:lang w:val="en-US" w:eastAsia="zh-CN"/>
        </w:rPr>
        <w:t>28.61</w:t>
      </w:r>
      <w:r>
        <w:rPr>
          <w:rFonts w:hint="eastAsia" w:ascii="仿宋_GB2312" w:hAnsi="仿宋_GB2312" w:eastAsia="仿宋_GB2312" w:cs="仿宋_GB2312"/>
          <w:color w:val="000000"/>
          <w:sz w:val="32"/>
          <w:szCs w:val="32"/>
          <w:highlight w:val="none"/>
          <w:lang w:eastAsia="zh-CN"/>
        </w:rPr>
        <w:t>万元。主要用于莲都区人民法院审判保障服务中心在职人员的医疗保险费支出。</w:t>
      </w:r>
    </w:p>
    <w:p>
      <w:pPr>
        <w:spacing w:line="520" w:lineRule="exact"/>
        <w:ind w:firstLine="640" w:firstLineChars="200"/>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6</w:t>
      </w:r>
      <w:r>
        <w:rPr>
          <w:rFonts w:hint="eastAsia" w:ascii="仿宋_GB2312" w:hAnsi="仿宋_GB2312" w:eastAsia="仿宋_GB2312" w:cs="仿宋_GB2312"/>
          <w:color w:val="000000"/>
          <w:sz w:val="32"/>
          <w:szCs w:val="32"/>
          <w:highlight w:val="none"/>
          <w:lang w:eastAsia="zh-CN"/>
        </w:rPr>
        <w:t>）住房保障支出（类）住房改革支出（款）住房公积金（项）</w:t>
      </w:r>
      <w:r>
        <w:rPr>
          <w:rFonts w:hint="eastAsia" w:ascii="仿宋_GB2312" w:hAnsi="仿宋_GB2312" w:eastAsia="仿宋_GB2312" w:cs="仿宋_GB2312"/>
          <w:color w:val="000000"/>
          <w:sz w:val="32"/>
          <w:szCs w:val="32"/>
          <w:highlight w:val="none"/>
          <w:lang w:val="en-US" w:eastAsia="zh-CN"/>
        </w:rPr>
        <w:t>64.96</w:t>
      </w:r>
      <w:r>
        <w:rPr>
          <w:rFonts w:hint="eastAsia" w:ascii="仿宋_GB2312" w:hAnsi="仿宋_GB2312" w:eastAsia="仿宋_GB2312" w:cs="仿宋_GB2312"/>
          <w:color w:val="000000"/>
          <w:sz w:val="32"/>
          <w:szCs w:val="32"/>
          <w:highlight w:val="none"/>
          <w:lang w:eastAsia="zh-CN"/>
        </w:rPr>
        <w:t>万元。主要用于莲都区人民法院审判保障服务中心为职工缴纳的住房公积金支出。</w:t>
      </w:r>
    </w:p>
    <w:p>
      <w:pPr>
        <w:spacing w:line="520" w:lineRule="exact"/>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 xml:space="preserve">    （六）关于丽水市莲都区人民法院审判保障服务中心</w:t>
      </w:r>
      <w:r>
        <w:rPr>
          <w:rFonts w:hint="eastAsia" w:ascii="楷体_GB2312" w:hAnsi="楷体_GB2312" w:eastAsia="楷体_GB2312" w:cs="楷体_GB2312"/>
          <w:bCs/>
          <w:color w:val="000000"/>
          <w:sz w:val="32"/>
          <w:szCs w:val="32"/>
          <w:lang w:eastAsia="zh-CN"/>
        </w:rPr>
        <w:t>2025年</w:t>
      </w:r>
      <w:r>
        <w:rPr>
          <w:rFonts w:hint="eastAsia" w:ascii="楷体_GB2312" w:hAnsi="楷体_GB2312" w:eastAsia="楷体_GB2312" w:cs="楷体_GB2312"/>
          <w:bCs/>
          <w:color w:val="000000"/>
          <w:sz w:val="32"/>
          <w:szCs w:val="32"/>
        </w:rPr>
        <w:t>一般公共预算基本支出情况说明</w:t>
      </w:r>
    </w:p>
    <w:p>
      <w:pPr>
        <w:spacing w:line="520" w:lineRule="exact"/>
        <w:ind w:firstLine="642"/>
        <w:rPr>
          <w:rFonts w:ascii="仿宋_GB2312" w:eastAsia="仿宋_GB2312"/>
          <w:color w:val="000000"/>
          <w:sz w:val="32"/>
          <w:szCs w:val="32"/>
        </w:rPr>
      </w:pPr>
      <w:r>
        <w:rPr>
          <w:rFonts w:hint="eastAsia" w:ascii="仿宋_GB2312" w:eastAsia="仿宋_GB2312"/>
          <w:color w:val="000000"/>
          <w:sz w:val="32"/>
          <w:szCs w:val="32"/>
        </w:rPr>
        <w:t>丽水市莲都区人民法院审判保障服务中心</w:t>
      </w:r>
      <w:r>
        <w:rPr>
          <w:rFonts w:hint="eastAsia" w:ascii="仿宋_GB2312" w:eastAsia="仿宋_GB2312"/>
          <w:color w:val="000000"/>
          <w:sz w:val="32"/>
          <w:szCs w:val="32"/>
          <w:lang w:eastAsia="zh-CN"/>
        </w:rPr>
        <w:t>2025年</w:t>
      </w:r>
      <w:r>
        <w:rPr>
          <w:rFonts w:hint="eastAsia" w:ascii="仿宋_GB2312" w:eastAsia="仿宋_GB2312"/>
          <w:color w:val="000000"/>
          <w:sz w:val="32"/>
          <w:szCs w:val="32"/>
        </w:rPr>
        <w:t>一般公共预算基本支出560.24万元，其中：</w:t>
      </w:r>
    </w:p>
    <w:p>
      <w:pPr>
        <w:spacing w:line="520" w:lineRule="exact"/>
        <w:ind w:firstLine="642"/>
        <w:rPr>
          <w:rFonts w:ascii="仿宋_GB2312" w:eastAsia="仿宋_GB2312"/>
          <w:color w:val="000000"/>
          <w:sz w:val="32"/>
          <w:szCs w:val="32"/>
        </w:rPr>
      </w:pPr>
      <w:r>
        <w:rPr>
          <w:rFonts w:hint="eastAsia" w:ascii="仿宋_GB2312" w:eastAsia="仿宋_GB2312"/>
          <w:color w:val="000000"/>
          <w:sz w:val="32"/>
          <w:szCs w:val="32"/>
        </w:rPr>
        <w:t>人员</w:t>
      </w:r>
      <w:r>
        <w:rPr>
          <w:rFonts w:hint="eastAsia" w:ascii="仿宋_GB2312" w:eastAsia="仿宋_GB2312"/>
          <w:color w:val="000000"/>
          <w:sz w:val="32"/>
          <w:szCs w:val="32"/>
          <w:lang w:val="en-US" w:eastAsia="zh-CN"/>
        </w:rPr>
        <w:t>支出</w:t>
      </w:r>
      <w:r>
        <w:rPr>
          <w:rFonts w:hint="eastAsia" w:ascii="仿宋_GB2312" w:eastAsia="仿宋_GB2312"/>
          <w:color w:val="000000"/>
          <w:sz w:val="32"/>
          <w:szCs w:val="32"/>
        </w:rPr>
        <w:t>521.34万元，主要包括：基本工资、奖金、绩效工资、机关事业单位基本养老保险缴费、职业年金缴费、职工基本医疗保险缴费、公务员医疗补助缴费、其他社会保障缴费、住房公积金、医疗费、其他工资福利支出；</w:t>
      </w:r>
    </w:p>
    <w:p>
      <w:pPr>
        <w:spacing w:line="520" w:lineRule="exact"/>
        <w:ind w:firstLine="642"/>
        <w:rPr>
          <w:rFonts w:ascii="仿宋_GB2312" w:eastAsia="仿宋_GB2312"/>
          <w:color w:val="000000"/>
          <w:sz w:val="32"/>
          <w:szCs w:val="32"/>
        </w:rPr>
      </w:pPr>
      <w:r>
        <w:rPr>
          <w:rFonts w:hint="eastAsia" w:ascii="仿宋_GB2312" w:eastAsia="仿宋_GB2312"/>
          <w:color w:val="000000"/>
          <w:sz w:val="32"/>
          <w:szCs w:val="32"/>
          <w:lang w:val="en-US" w:eastAsia="zh-CN"/>
        </w:rPr>
        <w:t>日常</w:t>
      </w:r>
      <w:r>
        <w:rPr>
          <w:rFonts w:hint="eastAsia" w:ascii="仿宋_GB2312" w:eastAsia="仿宋_GB2312"/>
          <w:color w:val="000000"/>
          <w:sz w:val="32"/>
          <w:szCs w:val="32"/>
        </w:rPr>
        <w:t>公用</w:t>
      </w:r>
      <w:r>
        <w:rPr>
          <w:rFonts w:hint="eastAsia" w:ascii="仿宋_GB2312" w:eastAsia="仿宋_GB2312"/>
          <w:color w:val="000000"/>
          <w:sz w:val="32"/>
          <w:szCs w:val="32"/>
          <w:lang w:val="en-US" w:eastAsia="zh-CN"/>
        </w:rPr>
        <w:t>支出</w:t>
      </w:r>
      <w:r>
        <w:rPr>
          <w:rFonts w:hint="eastAsia" w:ascii="仿宋_GB2312" w:eastAsia="仿宋_GB2312"/>
          <w:color w:val="000000"/>
          <w:sz w:val="32"/>
          <w:szCs w:val="32"/>
        </w:rPr>
        <w:t>38.91万元，主要包括：培训费、工会经费、福利费、公务用车运行维护费、其他商品和服务支出。</w:t>
      </w:r>
    </w:p>
    <w:p>
      <w:pPr>
        <w:spacing w:line="520" w:lineRule="exact"/>
        <w:ind w:firstLine="642"/>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（七）关于丽水市莲都区人民法院审判保障服务中心</w:t>
      </w:r>
      <w:r>
        <w:rPr>
          <w:rFonts w:hint="eastAsia" w:ascii="楷体_GB2312" w:hAnsi="楷体_GB2312" w:eastAsia="楷体_GB2312" w:cs="楷体_GB2312"/>
          <w:bCs/>
          <w:color w:val="000000"/>
          <w:sz w:val="32"/>
          <w:szCs w:val="32"/>
          <w:lang w:eastAsia="zh-CN"/>
        </w:rPr>
        <w:t>2025年</w:t>
      </w:r>
      <w:r>
        <w:rPr>
          <w:rFonts w:hint="eastAsia" w:ascii="楷体_GB2312" w:hAnsi="楷体_GB2312" w:eastAsia="楷体_GB2312" w:cs="楷体_GB2312"/>
          <w:bCs/>
          <w:color w:val="000000"/>
          <w:sz w:val="32"/>
          <w:szCs w:val="32"/>
        </w:rPr>
        <w:t>政府性基金预算支出情况说明</w:t>
      </w:r>
    </w:p>
    <w:p>
      <w:pPr>
        <w:ind w:firstLine="640" w:firstLineChars="200"/>
        <w:rPr>
          <w:rFonts w:hint="eastAsia" w:eastAsia="仿宋_GB2312"/>
          <w:lang w:eastAsia="zh-CN"/>
        </w:rPr>
      </w:pPr>
      <w:r>
        <w:rPr>
          <w:rFonts w:hint="eastAsia" w:ascii="仿宋_GB2312" w:hAnsi="仿宋_GB2312" w:eastAsia="仿宋_GB2312" w:cs="仿宋_GB2312"/>
          <w:color w:val="000000"/>
          <w:sz w:val="32"/>
          <w:szCs w:val="32"/>
        </w:rPr>
        <w:t>丽水市莲都区人民法院审判保障服务中心</w:t>
      </w:r>
      <w:r>
        <w:rPr>
          <w:rFonts w:hint="eastAsia" w:ascii="仿宋_GB2312" w:hAnsi="仿宋_GB2312" w:eastAsia="仿宋_GB2312" w:cs="仿宋_GB2312"/>
          <w:color w:val="000000"/>
          <w:sz w:val="32"/>
          <w:szCs w:val="32"/>
          <w:lang w:eastAsia="zh-CN"/>
        </w:rPr>
        <w:t>2025年</w:t>
      </w:r>
      <w:r>
        <w:rPr>
          <w:rFonts w:hint="eastAsia" w:ascii="仿宋_GB2312" w:hAnsi="仿宋_GB2312" w:eastAsia="仿宋_GB2312" w:cs="仿宋_GB2312"/>
          <w:color w:val="000000"/>
          <w:sz w:val="32"/>
          <w:szCs w:val="32"/>
        </w:rPr>
        <w:t>没有使用政府性基金预算拨款安排的支出</w:t>
      </w:r>
      <w:r>
        <w:rPr>
          <w:rFonts w:hint="eastAsia" w:ascii="仿宋_GB2312" w:eastAsia="仿宋_GB2312"/>
          <w:color w:val="000000"/>
          <w:sz w:val="32"/>
          <w:szCs w:val="32"/>
        </w:rPr>
        <w:t>，与上年持平</w:t>
      </w:r>
      <w:r>
        <w:rPr>
          <w:rFonts w:hint="eastAsia" w:ascii="仿宋_GB2312" w:eastAsia="仿宋_GB2312"/>
          <w:color w:val="000000"/>
          <w:sz w:val="32"/>
          <w:szCs w:val="32"/>
          <w:lang w:eastAsia="zh-CN"/>
        </w:rPr>
        <w:t>。</w:t>
      </w:r>
    </w:p>
    <w:p>
      <w:pPr>
        <w:spacing w:line="520" w:lineRule="exact"/>
        <w:ind w:firstLine="627" w:firstLineChars="196"/>
        <w:rPr>
          <w:rFonts w:ascii="楷体_GB2312" w:hAnsi="楷体_GB2312" w:eastAsia="楷体_GB2312" w:cs="楷体_GB2312"/>
          <w:bCs/>
          <w:color w:val="000000"/>
          <w:sz w:val="32"/>
          <w:szCs w:val="32"/>
          <w:highlight w:val="none"/>
        </w:rPr>
      </w:pPr>
      <w:r>
        <w:rPr>
          <w:rFonts w:hint="eastAsia" w:ascii="楷体_GB2312" w:hAnsi="楷体_GB2312" w:eastAsia="楷体_GB2312" w:cs="楷体_GB2312"/>
          <w:bCs/>
          <w:color w:val="000000"/>
          <w:sz w:val="32"/>
          <w:szCs w:val="32"/>
          <w:highlight w:val="none"/>
        </w:rPr>
        <w:t>（八）关于</w:t>
      </w:r>
      <w:r>
        <w:rPr>
          <w:rFonts w:ascii="楷体_GB2312" w:hAnsi="楷体_GB2312" w:eastAsia="楷体_GB2312" w:cs="楷体_GB2312"/>
          <w:bCs/>
          <w:color w:val="000000"/>
          <w:sz w:val="32"/>
          <w:szCs w:val="32"/>
          <w:highlight w:val="none"/>
        </w:rPr>
        <w:t>丽水市莲都区人民法院审判保障服务中心</w:t>
      </w:r>
      <w:r>
        <w:rPr>
          <w:rFonts w:hint="eastAsia" w:ascii="楷体_GB2312" w:hAnsi="楷体_GB2312" w:eastAsia="楷体_GB2312" w:cs="楷体_GB2312"/>
          <w:bCs/>
          <w:color w:val="000000"/>
          <w:sz w:val="32"/>
          <w:szCs w:val="32"/>
          <w:highlight w:val="none"/>
          <w:lang w:eastAsia="zh-CN"/>
        </w:rPr>
        <w:t>2025年</w:t>
      </w:r>
      <w:r>
        <w:rPr>
          <w:rFonts w:hint="eastAsia" w:ascii="楷体_GB2312" w:hAnsi="楷体_GB2312" w:eastAsia="楷体_GB2312" w:cs="楷体_GB2312"/>
          <w:bCs/>
          <w:color w:val="000000"/>
          <w:sz w:val="32"/>
          <w:szCs w:val="32"/>
          <w:highlight w:val="none"/>
        </w:rPr>
        <w:t>国有资本经营预算支出情况说明</w:t>
      </w:r>
    </w:p>
    <w:p>
      <w:pPr>
        <w:spacing w:line="520" w:lineRule="exact"/>
        <w:ind w:left="477" w:leftChars="227"/>
        <w:rPr>
          <w:b/>
          <w:sz w:val="20"/>
          <w:highlight w:val="none"/>
        </w:rPr>
      </w:pPr>
      <w:r>
        <w:rPr>
          <w:rFonts w:hint="eastAsia" w:ascii="仿宋_GB2312" w:hAnsi="仿宋_GB2312" w:eastAsia="仿宋_GB2312" w:cs="仿宋_GB2312"/>
          <w:color w:val="000000"/>
          <w:sz w:val="32"/>
          <w:szCs w:val="32"/>
          <w:highlight w:val="none"/>
        </w:rPr>
        <w:t>丽水市莲都区人民法院审判保障服务中心</w:t>
      </w:r>
      <w:r>
        <w:rPr>
          <w:rFonts w:hint="eastAsia" w:ascii="仿宋_GB2312" w:hAnsi="仿宋_GB2312" w:eastAsia="仿宋_GB2312" w:cs="仿宋_GB2312"/>
          <w:color w:val="000000"/>
          <w:sz w:val="32"/>
          <w:szCs w:val="32"/>
          <w:highlight w:val="none"/>
          <w:lang w:eastAsia="zh-CN"/>
        </w:rPr>
        <w:t>2025年</w:t>
      </w:r>
      <w:r>
        <w:rPr>
          <w:rFonts w:hint="eastAsia" w:ascii="仿宋_GB2312" w:hAnsi="仿宋_GB2312" w:eastAsia="仿宋_GB2312" w:cs="仿宋_GB2312"/>
          <w:color w:val="000000"/>
          <w:sz w:val="32"/>
          <w:szCs w:val="32"/>
          <w:highlight w:val="none"/>
        </w:rPr>
        <w:t>没有使用国有资本经营预算拨款安排的支出，与上年持平。</w:t>
      </w:r>
    </w:p>
    <w:p>
      <w:pPr>
        <w:spacing w:line="520" w:lineRule="exact"/>
        <w:ind w:firstLine="627" w:firstLineChars="196"/>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（九）关于丽水市莲都区人民法院审判保障服务中心</w:t>
      </w:r>
      <w:r>
        <w:rPr>
          <w:rFonts w:hint="eastAsia" w:ascii="楷体_GB2312" w:hAnsi="楷体_GB2312" w:eastAsia="楷体_GB2312" w:cs="楷体_GB2312"/>
          <w:bCs/>
          <w:color w:val="000000"/>
          <w:sz w:val="32"/>
          <w:szCs w:val="32"/>
          <w:lang w:eastAsia="zh-CN"/>
        </w:rPr>
        <w:t>2025年</w:t>
      </w:r>
      <w:r>
        <w:rPr>
          <w:rFonts w:hint="eastAsia" w:ascii="楷体_GB2312" w:hAnsi="楷体_GB2312" w:eastAsia="楷体_GB2312" w:cs="楷体_GB2312"/>
          <w:bCs/>
          <w:sz w:val="32"/>
          <w:szCs w:val="32"/>
        </w:rPr>
        <w:t>一般公共预算</w:t>
      </w:r>
      <w:r>
        <w:rPr>
          <w:rFonts w:hint="eastAsia" w:ascii="楷体_GB2312" w:hAnsi="楷体_GB2312" w:eastAsia="楷体_GB2312" w:cs="楷体_GB2312"/>
          <w:bCs/>
          <w:color w:val="000000"/>
          <w:sz w:val="32"/>
          <w:szCs w:val="32"/>
        </w:rPr>
        <w:t>“三公”经费预算情况说明</w:t>
      </w:r>
    </w:p>
    <w:p>
      <w:pPr>
        <w:spacing w:line="520" w:lineRule="exact"/>
        <w:ind w:firstLine="640" w:firstLineChars="200"/>
        <w:rPr>
          <w:rFonts w:ascii="仿宋_GB2312" w:hAnsi="仿宋_GB2312" w:eastAsia="仿宋_GB2312"/>
          <w:sz w:val="32"/>
        </w:rPr>
      </w:pPr>
      <w:r>
        <w:rPr>
          <w:rFonts w:hint="eastAsia" w:ascii="仿宋_GB2312" w:hAnsi="仿宋_GB2312" w:eastAsia="仿宋_GB2312"/>
          <w:sz w:val="32"/>
        </w:rPr>
        <w:t>丽水市莲都区人民法院审判保障服务中心</w:t>
      </w:r>
      <w:r>
        <w:rPr>
          <w:rFonts w:hint="eastAsia" w:ascii="仿宋_GB2312" w:hAnsi="仿宋_GB2312" w:eastAsia="仿宋_GB2312"/>
          <w:sz w:val="32"/>
          <w:lang w:eastAsia="zh-CN"/>
        </w:rPr>
        <w:t>2025年</w:t>
      </w:r>
      <w:r>
        <w:rPr>
          <w:rFonts w:hint="eastAsia" w:ascii="仿宋_GB2312" w:hAnsi="仿宋_GB2312" w:eastAsia="仿宋_GB2312"/>
          <w:sz w:val="32"/>
        </w:rPr>
        <w:t>“三公”经费预算数为3.00万元，</w:t>
      </w:r>
      <w:r>
        <w:rPr>
          <w:rFonts w:hint="eastAsia" w:ascii="仿宋_GB2312" w:hAnsi="仿宋_GB2312" w:eastAsia="仿宋_GB2312"/>
          <w:sz w:val="32"/>
          <w:shd w:val="clear" w:color="auto" w:fill="FFFFFF"/>
          <w:lang w:eastAsia="zh-CN"/>
        </w:rPr>
        <w:t>与</w:t>
      </w:r>
      <w:r>
        <w:rPr>
          <w:rFonts w:hint="eastAsia" w:ascii="仿宋_GB2312" w:hAnsi="仿宋_GB2312" w:eastAsia="仿宋_GB2312"/>
          <w:sz w:val="32"/>
          <w:shd w:val="clear" w:color="auto" w:fill="FFFFFF"/>
        </w:rPr>
        <w:t>上年预算数</w:t>
      </w:r>
      <w:r>
        <w:rPr>
          <w:rFonts w:hint="eastAsia" w:ascii="仿宋_GB2312" w:hAnsi="仿宋_GB2312" w:eastAsia="仿宋_GB2312"/>
          <w:sz w:val="32"/>
          <w:shd w:val="clear" w:color="auto" w:fill="FFFFFF"/>
          <w:lang w:eastAsia="zh-CN"/>
        </w:rPr>
        <w:t>一致</w:t>
      </w:r>
      <w:r>
        <w:rPr>
          <w:rFonts w:hint="eastAsia" w:ascii="仿宋_GB2312" w:hAnsi="仿宋_GB2312" w:eastAsia="仿宋_GB2312"/>
          <w:sz w:val="32"/>
        </w:rPr>
        <w:t>，具体如下：</w:t>
      </w:r>
    </w:p>
    <w:p>
      <w:pPr>
        <w:spacing w:line="52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1.因公出国（境）费用：</w:t>
      </w:r>
      <w:r>
        <w:rPr>
          <w:rFonts w:hint="eastAsia" w:ascii="仿宋_GB2312" w:hAnsi="仿宋_GB2312" w:eastAsia="仿宋_GB2312" w:cs="仿宋_GB2312"/>
          <w:sz w:val="32"/>
          <w:szCs w:val="32"/>
        </w:rPr>
        <w:t>根据因公出国计划和实际工作需要，2024年安排因公出国（境）费用预算0.00万元，</w:t>
      </w:r>
      <w:r>
        <w:rPr>
          <w:rFonts w:hint="eastAsia" w:ascii="仿宋_GB2312" w:hAnsi="仿宋_GB2312" w:eastAsia="仿宋_GB2312" w:cs="仿宋_GB2312"/>
          <w:sz w:val="32"/>
          <w:szCs w:val="32"/>
          <w:lang w:eastAsia="zh-CN"/>
        </w:rPr>
        <w:t>与上年预算数持平</w:t>
      </w:r>
      <w:r>
        <w:rPr>
          <w:rFonts w:hint="eastAsia" w:ascii="仿宋_GB2312" w:hAnsi="仿宋_GB2312" w:eastAsia="仿宋_GB2312" w:cs="仿宋_GB2312"/>
          <w:sz w:val="32"/>
          <w:szCs w:val="32"/>
        </w:rPr>
        <w:t>。主要用于机关及下属预算单位人员的公务出国（境）的国际旅费、国外城市间交通费、住宿费、伙食费、培训费、公杂费等支出。</w:t>
      </w:r>
      <w:r>
        <w:rPr>
          <w:rFonts w:hint="eastAsia" w:ascii="仿宋_GB2312" w:hAnsi="仿宋_GB2312" w:eastAsia="仿宋_GB2312" w:cs="仿宋_GB2312"/>
          <w:sz w:val="32"/>
          <w:szCs w:val="32"/>
          <w:lang w:eastAsia="zh-CN"/>
        </w:rPr>
        <w:t>持平的主要原因是近两年均没有人员因公出国（境）。</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2.公务接待费：2024年安排公务接待费预算0.00万元，</w:t>
      </w:r>
      <w:r>
        <w:rPr>
          <w:rFonts w:hint="eastAsia" w:ascii="仿宋_GB2312" w:hAnsi="仿宋_GB2312" w:eastAsia="仿宋_GB2312" w:cs="仿宋_GB2312"/>
          <w:sz w:val="32"/>
          <w:szCs w:val="32"/>
          <w:lang w:eastAsia="zh-CN"/>
        </w:rPr>
        <w:t>与</w:t>
      </w:r>
      <w:r>
        <w:rPr>
          <w:rFonts w:hint="eastAsia" w:ascii="仿宋_GB2312" w:hAnsi="仿宋_GB2312" w:eastAsia="仿宋_GB2312" w:cs="仿宋_GB2312"/>
          <w:sz w:val="32"/>
          <w:szCs w:val="32"/>
        </w:rPr>
        <w:t>上年预算数</w:t>
      </w:r>
      <w:r>
        <w:rPr>
          <w:rFonts w:hint="eastAsia" w:ascii="仿宋_GB2312" w:hAnsi="仿宋_GB2312" w:eastAsia="仿宋_GB2312"/>
          <w:sz w:val="32"/>
          <w:shd w:val="clear" w:color="auto" w:fill="FFFFFF"/>
          <w:lang w:eastAsia="zh-CN"/>
        </w:rPr>
        <w:t>持平，持平原因为近两年没有公务接待安排</w:t>
      </w:r>
      <w:r>
        <w:rPr>
          <w:rFonts w:hint="eastAsia" w:ascii="仿宋_GB2312" w:hAnsi="仿宋_GB2312" w:eastAsia="仿宋_GB2312" w:cs="仿宋_GB2312"/>
          <w:sz w:val="32"/>
          <w:szCs w:val="32"/>
        </w:rPr>
        <w:t>。</w:t>
      </w:r>
    </w:p>
    <w:p>
      <w:pPr>
        <w:pStyle w:val="15"/>
        <w:spacing w:line="520" w:lineRule="exact"/>
        <w:ind w:firstLine="640" w:firstLineChars="200"/>
        <w:rPr>
          <w:rFonts w:ascii="仿宋_GB2312" w:eastAsia="仿宋_GB2312"/>
          <w:b/>
          <w:bCs/>
          <w:sz w:val="32"/>
          <w:szCs w:val="32"/>
          <w:highlight w:val="none"/>
        </w:rPr>
      </w:pPr>
      <w:r>
        <w:rPr>
          <w:rFonts w:hint="eastAsia" w:ascii="仿宋_GB2312" w:eastAsia="仿宋_GB2312"/>
          <w:sz w:val="32"/>
          <w:szCs w:val="32"/>
        </w:rPr>
        <w:t>3.公务用车购置及运行维护费：2024年安排公务用车购置及运行维护费预算3.00万元，</w:t>
      </w:r>
      <w:r>
        <w:rPr>
          <w:rFonts w:hint="eastAsia" w:ascii="仿宋_GB2312" w:eastAsia="仿宋_GB2312"/>
          <w:sz w:val="32"/>
          <w:szCs w:val="32"/>
          <w:lang w:eastAsia="zh-CN"/>
        </w:rPr>
        <w:t>与</w:t>
      </w:r>
      <w:r>
        <w:rPr>
          <w:rFonts w:hint="eastAsia" w:ascii="仿宋_GB2312" w:eastAsia="仿宋_GB2312"/>
          <w:sz w:val="32"/>
          <w:szCs w:val="32"/>
        </w:rPr>
        <w:t>上年预算数</w:t>
      </w:r>
      <w:r>
        <w:rPr>
          <w:rFonts w:hint="eastAsia" w:ascii="仿宋_GB2312" w:hAnsi="仿宋_GB2312" w:eastAsia="仿宋_GB2312"/>
          <w:sz w:val="32"/>
          <w:shd w:val="clear" w:color="auto" w:fill="FFFFFF"/>
          <w:lang w:eastAsia="zh-CN"/>
        </w:rPr>
        <w:t>持平</w:t>
      </w:r>
      <w:r>
        <w:rPr>
          <w:rFonts w:hint="eastAsia" w:ascii="仿宋_GB2312" w:eastAsia="仿宋_GB2312"/>
          <w:sz w:val="32"/>
          <w:szCs w:val="32"/>
          <w:highlight w:val="none"/>
        </w:rPr>
        <w:t>。其中，公务用车购置支出0.00万元（含购置税等附加费用），主要用于经批准购置的</w:t>
      </w:r>
      <w:r>
        <w:rPr>
          <w:rFonts w:hint="eastAsia" w:ascii="仿宋_GB2312" w:eastAsia="仿宋_GB2312"/>
          <w:color w:val="000000"/>
          <w:sz w:val="32"/>
          <w:szCs w:val="32"/>
          <w:highlight w:val="none"/>
          <w:lang w:val="en-US" w:eastAsia="zh-CN"/>
        </w:rPr>
        <w:t>0</w:t>
      </w:r>
      <w:r>
        <w:rPr>
          <w:rFonts w:hint="eastAsia" w:ascii="仿宋_GB2312" w:eastAsia="仿宋_GB2312"/>
          <w:sz w:val="32"/>
          <w:szCs w:val="32"/>
          <w:highlight w:val="none"/>
        </w:rPr>
        <w:t>辆公务用车，</w:t>
      </w:r>
      <w:r>
        <w:rPr>
          <w:rFonts w:hint="eastAsia" w:ascii="仿宋_GB2312" w:eastAsia="仿宋_GB2312"/>
          <w:sz w:val="32"/>
          <w:szCs w:val="32"/>
          <w:highlight w:val="none"/>
          <w:lang w:eastAsia="zh-CN"/>
        </w:rPr>
        <w:t>与</w:t>
      </w:r>
      <w:r>
        <w:rPr>
          <w:rFonts w:hint="eastAsia" w:ascii="仿宋_GB2312" w:eastAsia="仿宋_GB2312"/>
          <w:sz w:val="32"/>
          <w:szCs w:val="32"/>
          <w:highlight w:val="none"/>
        </w:rPr>
        <w:t>上年预算数</w:t>
      </w:r>
      <w:r>
        <w:rPr>
          <w:rFonts w:hint="eastAsia" w:ascii="仿宋_GB2312" w:eastAsia="仿宋_GB2312"/>
          <w:sz w:val="32"/>
          <w:szCs w:val="32"/>
          <w:highlight w:val="none"/>
          <w:lang w:eastAsia="zh-CN"/>
        </w:rPr>
        <w:t>持平，</w:t>
      </w:r>
      <w:r>
        <w:rPr>
          <w:rFonts w:hint="eastAsia" w:ascii="仿宋_GB2312" w:hAnsi="仿宋_GB2312" w:eastAsia="仿宋_GB2312"/>
          <w:sz w:val="32"/>
          <w:shd w:val="clear" w:color="auto" w:fill="FFFFFF"/>
          <w:lang w:eastAsia="zh-CN"/>
        </w:rPr>
        <w:t>持平原因为本年没有公车购置安排</w:t>
      </w:r>
      <w:r>
        <w:rPr>
          <w:rFonts w:hint="eastAsia" w:ascii="仿宋_GB2312" w:eastAsia="仿宋_GB2312"/>
          <w:sz w:val="32"/>
          <w:szCs w:val="32"/>
          <w:highlight w:val="none"/>
        </w:rPr>
        <w:t>；公务用车运行维护费支出3.00万元，主要用于公务用车燃料费、维修费、过桥过路费、保险费等支出。</w:t>
      </w:r>
      <w:r>
        <w:rPr>
          <w:rFonts w:hint="eastAsia" w:ascii="仿宋_GB2312" w:eastAsia="仿宋_GB2312"/>
          <w:sz w:val="32"/>
          <w:szCs w:val="32"/>
          <w:highlight w:val="none"/>
          <w:lang w:eastAsia="zh-CN"/>
        </w:rPr>
        <w:t>与</w:t>
      </w:r>
      <w:r>
        <w:rPr>
          <w:rFonts w:hint="eastAsia" w:ascii="仿宋_GB2312" w:eastAsia="仿宋_GB2312"/>
          <w:sz w:val="32"/>
          <w:szCs w:val="32"/>
          <w:highlight w:val="none"/>
        </w:rPr>
        <w:t>上年预算数</w:t>
      </w:r>
      <w:r>
        <w:rPr>
          <w:rFonts w:hint="eastAsia" w:ascii="仿宋_GB2312" w:eastAsia="仿宋_GB2312"/>
          <w:sz w:val="32"/>
          <w:szCs w:val="32"/>
          <w:highlight w:val="none"/>
          <w:lang w:eastAsia="zh-CN"/>
        </w:rPr>
        <w:t>持平，</w:t>
      </w:r>
      <w:r>
        <w:rPr>
          <w:rFonts w:hint="eastAsia" w:ascii="仿宋_GB2312" w:hAnsi="仿宋_GB2312" w:eastAsia="仿宋_GB2312"/>
          <w:sz w:val="32"/>
          <w:shd w:val="clear" w:color="auto" w:fill="FFFFFF"/>
          <w:lang w:eastAsia="zh-CN"/>
        </w:rPr>
        <w:t>持平原因为本年度公务用车运行维护需求与上年一致</w:t>
      </w:r>
      <w:r>
        <w:rPr>
          <w:rFonts w:hint="eastAsia" w:ascii="仿宋_GB2312" w:eastAsia="仿宋_GB2312"/>
          <w:sz w:val="32"/>
          <w:szCs w:val="32"/>
          <w:highlight w:val="none"/>
        </w:rPr>
        <w:t>。</w:t>
      </w:r>
    </w:p>
    <w:p>
      <w:pPr>
        <w:spacing w:line="520" w:lineRule="exact"/>
        <w:ind w:firstLine="627" w:firstLineChars="196"/>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（十）其他重要事项的情况说明</w:t>
      </w:r>
    </w:p>
    <w:p>
      <w:pPr>
        <w:pStyle w:val="15"/>
        <w:numPr>
          <w:ilvl w:val="0"/>
          <w:numId w:val="0"/>
        </w:numPr>
        <w:spacing w:line="520" w:lineRule="exact"/>
        <w:ind w:firstLine="643" w:firstLineChars="200"/>
        <w:rPr>
          <w:rFonts w:ascii="仿宋_GB2312" w:eastAsia="仿宋_GB2312"/>
          <w:b/>
          <w:bCs/>
          <w:sz w:val="32"/>
          <w:szCs w:val="32"/>
        </w:rPr>
      </w:pPr>
      <w:r>
        <w:rPr>
          <w:rFonts w:hint="eastAsia" w:ascii="仿宋_GB2312" w:eastAsia="仿宋_GB2312"/>
          <w:b/>
          <w:bCs/>
          <w:sz w:val="32"/>
          <w:szCs w:val="32"/>
          <w:lang w:val="en-US" w:eastAsia="zh-CN"/>
        </w:rPr>
        <w:t>1.</w:t>
      </w:r>
      <w:r>
        <w:rPr>
          <w:rFonts w:hint="eastAsia" w:ascii="仿宋_GB2312" w:eastAsia="仿宋_GB2312"/>
          <w:b/>
          <w:bCs/>
          <w:sz w:val="32"/>
          <w:szCs w:val="32"/>
        </w:rPr>
        <w:t>政府采购情况。</w:t>
      </w:r>
    </w:p>
    <w:p>
      <w:pPr>
        <w:pStyle w:val="15"/>
        <w:spacing w:line="520" w:lineRule="exact"/>
        <w:ind w:firstLine="640" w:firstLineChars="200"/>
        <w:rPr>
          <w:rFonts w:ascii="仿宋_GB2312" w:eastAsia="仿宋_GB2312"/>
          <w:sz w:val="32"/>
          <w:szCs w:val="32"/>
        </w:rPr>
      </w:pPr>
      <w:r>
        <w:rPr>
          <w:rFonts w:hint="eastAsia" w:ascii="仿宋_GB2312" w:eastAsia="仿宋_GB2312"/>
          <w:sz w:val="32"/>
          <w:szCs w:val="32"/>
          <w:lang w:eastAsia="zh-CN"/>
        </w:rPr>
        <w:t>2025年</w:t>
      </w:r>
      <w:r>
        <w:rPr>
          <w:rFonts w:hint="eastAsia" w:ascii="仿宋_GB2312" w:eastAsia="仿宋_GB2312"/>
          <w:sz w:val="32"/>
          <w:szCs w:val="32"/>
        </w:rPr>
        <w:t>丽水市莲都区人民法院审判保障服务中心</w:t>
      </w:r>
      <w:r>
        <w:rPr>
          <w:rFonts w:hint="eastAsia" w:ascii="仿宋_GB2312" w:eastAsia="仿宋_GB2312"/>
          <w:color w:val="000000"/>
          <w:sz w:val="32"/>
          <w:szCs w:val="32"/>
        </w:rPr>
        <w:t>各单位政府采购预算总额</w:t>
      </w:r>
      <w:r>
        <w:rPr>
          <w:rFonts w:ascii="仿宋_GB2312" w:eastAsia="仿宋_GB2312"/>
          <w:color w:val="000000"/>
          <w:sz w:val="32"/>
          <w:szCs w:val="32"/>
        </w:rPr>
        <w:t>0.00</w:t>
      </w:r>
      <w:r>
        <w:rPr>
          <w:rFonts w:hint="eastAsia" w:ascii="仿宋_GB2312" w:eastAsia="仿宋_GB2312"/>
          <w:color w:val="000000"/>
          <w:sz w:val="32"/>
          <w:szCs w:val="32"/>
        </w:rPr>
        <w:t>万元，其中：政府采购货物预算0.00万元、政府采购工程预算0.00万元、政府采购服务预算</w:t>
      </w:r>
      <w:r>
        <w:rPr>
          <w:rFonts w:ascii="仿宋_GB2312" w:eastAsia="仿宋_GB2312"/>
          <w:color w:val="000000"/>
          <w:sz w:val="32"/>
          <w:szCs w:val="32"/>
        </w:rPr>
        <w:t>0.00</w:t>
      </w:r>
      <w:r>
        <w:rPr>
          <w:rFonts w:hint="eastAsia" w:ascii="仿宋_GB2312" w:eastAsia="仿宋_GB2312"/>
          <w:color w:val="000000"/>
          <w:sz w:val="32"/>
          <w:szCs w:val="32"/>
        </w:rPr>
        <w:t>万元。</w:t>
      </w:r>
    </w:p>
    <w:p>
      <w:pPr>
        <w:pStyle w:val="15"/>
        <w:spacing w:line="520" w:lineRule="exact"/>
        <w:ind w:firstLine="642"/>
        <w:rPr>
          <w:rFonts w:ascii="仿宋_GB2312" w:eastAsia="仿宋_GB2312"/>
          <w:sz w:val="32"/>
          <w:szCs w:val="32"/>
        </w:rPr>
      </w:pPr>
      <w:r>
        <w:rPr>
          <w:rFonts w:hint="eastAsia" w:ascii="仿宋_GB2312" w:eastAsia="仿宋_GB2312"/>
          <w:b/>
          <w:bCs/>
          <w:sz w:val="32"/>
          <w:szCs w:val="32"/>
          <w:lang w:val="en-US" w:eastAsia="zh-CN"/>
        </w:rPr>
        <w:t>2</w:t>
      </w:r>
      <w:r>
        <w:rPr>
          <w:rFonts w:hint="eastAsia" w:ascii="仿宋_GB2312" w:eastAsia="仿宋_GB2312"/>
          <w:b/>
          <w:bCs/>
          <w:sz w:val="32"/>
          <w:szCs w:val="32"/>
        </w:rPr>
        <w:t>.国有资产占有使用情况。</w:t>
      </w:r>
    </w:p>
    <w:p>
      <w:pPr>
        <w:spacing w:line="520" w:lineRule="exact"/>
        <w:ind w:firstLine="640"/>
        <w:rPr>
          <w:rFonts w:ascii="仿宋_GB2312" w:hAnsi="仿宋_GB2312" w:eastAsia="仿宋_GB2312" w:cs="仿宋_GB2312"/>
          <w:sz w:val="32"/>
          <w:szCs w:val="32"/>
        </w:rPr>
      </w:pPr>
      <w:r>
        <w:rPr>
          <w:rFonts w:hint="eastAsia" w:ascii="仿宋_GB2312" w:hAnsi="仿宋_GB2312" w:eastAsia="仿宋_GB2312" w:cs="仿宋_GB2312"/>
          <w:spacing w:val="6"/>
          <w:sz w:val="32"/>
          <w:szCs w:val="32"/>
        </w:rPr>
        <w:t>截至202</w:t>
      </w:r>
      <w:r>
        <w:rPr>
          <w:rFonts w:hint="eastAsia" w:ascii="仿宋_GB2312" w:hAnsi="仿宋_GB2312" w:eastAsia="仿宋_GB2312" w:cs="仿宋_GB2312"/>
          <w:spacing w:val="6"/>
          <w:sz w:val="32"/>
          <w:szCs w:val="32"/>
          <w:lang w:val="en-US" w:eastAsia="zh-CN"/>
        </w:rPr>
        <w:t>4</w:t>
      </w:r>
      <w:r>
        <w:rPr>
          <w:rFonts w:hint="eastAsia" w:ascii="仿宋_GB2312" w:hAnsi="仿宋_GB2312" w:eastAsia="仿宋_GB2312" w:cs="仿宋_GB2312"/>
          <w:spacing w:val="6"/>
          <w:sz w:val="32"/>
          <w:szCs w:val="32"/>
        </w:rPr>
        <w:t>年12月31日，所属各预算单位共有车辆</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辆，其中，应急保障用车</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辆、老干部服务用车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辆、执法执勤用车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辆、特种专业技术用车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辆、行政执法专用车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辆、其他用车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辆。单位价值100万元以上设备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 xml:space="preserve">台（套）。 </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2025年</w:t>
      </w:r>
      <w:r>
        <w:rPr>
          <w:rFonts w:ascii="仿宋_GB2312" w:hAnsi="仿宋_GB2312" w:eastAsia="仿宋_GB2312" w:cs="仿宋_GB2312"/>
          <w:sz w:val="32"/>
          <w:szCs w:val="32"/>
        </w:rPr>
        <w:t>部门预算安排购置车辆</w:t>
      </w:r>
      <w:r>
        <w:rPr>
          <w:rFonts w:hint="eastAsia" w:ascii="仿宋_GB2312" w:hAnsi="仿宋_GB2312" w:eastAsia="仿宋_GB2312" w:cs="仿宋_GB2312"/>
          <w:sz w:val="32"/>
          <w:szCs w:val="32"/>
          <w:lang w:val="en-US" w:eastAsia="zh-CN"/>
        </w:rPr>
        <w:t>0</w:t>
      </w:r>
      <w:r>
        <w:rPr>
          <w:rFonts w:ascii="仿宋_GB2312" w:hAnsi="仿宋_GB2312" w:eastAsia="仿宋_GB2312" w:cs="仿宋_GB2312"/>
          <w:sz w:val="32"/>
          <w:szCs w:val="32"/>
        </w:rPr>
        <w:t>辆，其中，应急保障用车</w:t>
      </w:r>
      <w:r>
        <w:rPr>
          <w:rFonts w:hint="eastAsia" w:ascii="仿宋_GB2312" w:hAnsi="仿宋_GB2312" w:eastAsia="仿宋_GB2312" w:cs="仿宋_GB2312"/>
          <w:sz w:val="32"/>
          <w:szCs w:val="32"/>
          <w:lang w:val="en-US" w:eastAsia="zh-CN"/>
        </w:rPr>
        <w:t>0</w:t>
      </w:r>
      <w:r>
        <w:rPr>
          <w:rFonts w:ascii="仿宋_GB2312" w:hAnsi="仿宋_GB2312" w:eastAsia="仿宋_GB2312" w:cs="仿宋_GB2312"/>
          <w:sz w:val="32"/>
          <w:szCs w:val="32"/>
        </w:rPr>
        <w:t>辆、执法执勤用车</w:t>
      </w:r>
      <w:r>
        <w:rPr>
          <w:rFonts w:hint="eastAsia" w:ascii="仿宋_GB2312" w:hAnsi="仿宋_GB2312" w:eastAsia="仿宋_GB2312" w:cs="仿宋_GB2312"/>
          <w:sz w:val="32"/>
          <w:szCs w:val="32"/>
          <w:lang w:val="en-US" w:eastAsia="zh-CN"/>
        </w:rPr>
        <w:t>0</w:t>
      </w:r>
      <w:r>
        <w:rPr>
          <w:rFonts w:ascii="仿宋_GB2312" w:hAnsi="仿宋_GB2312" w:eastAsia="仿宋_GB2312" w:cs="仿宋_GB2312"/>
          <w:sz w:val="32"/>
          <w:szCs w:val="32"/>
        </w:rPr>
        <w:t>辆、特种专业技术用车</w:t>
      </w:r>
      <w:r>
        <w:rPr>
          <w:rFonts w:hint="eastAsia" w:ascii="仿宋_GB2312" w:hAnsi="仿宋_GB2312" w:eastAsia="仿宋_GB2312" w:cs="仿宋_GB2312"/>
          <w:sz w:val="32"/>
          <w:szCs w:val="32"/>
          <w:lang w:val="en-US" w:eastAsia="zh-CN"/>
        </w:rPr>
        <w:t>0</w:t>
      </w:r>
      <w:r>
        <w:rPr>
          <w:rFonts w:ascii="仿宋_GB2312" w:hAnsi="仿宋_GB2312" w:eastAsia="仿宋_GB2312" w:cs="仿宋_GB2312"/>
          <w:sz w:val="32"/>
          <w:szCs w:val="32"/>
        </w:rPr>
        <w:t>辆、老干部服务用车</w:t>
      </w:r>
      <w:r>
        <w:rPr>
          <w:rFonts w:hint="eastAsia" w:ascii="仿宋_GB2312" w:hAnsi="仿宋_GB2312" w:eastAsia="仿宋_GB2312" w:cs="仿宋_GB2312"/>
          <w:sz w:val="32"/>
          <w:szCs w:val="32"/>
          <w:lang w:val="en-US" w:eastAsia="zh-CN"/>
        </w:rPr>
        <w:t>0</w:t>
      </w:r>
      <w:r>
        <w:rPr>
          <w:rFonts w:ascii="仿宋_GB2312" w:hAnsi="仿宋_GB2312" w:eastAsia="仿宋_GB2312" w:cs="仿宋_GB2312"/>
          <w:sz w:val="32"/>
          <w:szCs w:val="32"/>
        </w:rPr>
        <w:t>辆、行政执法专用车</w:t>
      </w:r>
      <w:r>
        <w:rPr>
          <w:rFonts w:hint="eastAsia" w:ascii="仿宋_GB2312" w:hAnsi="仿宋_GB2312" w:eastAsia="仿宋_GB2312" w:cs="仿宋_GB2312"/>
          <w:sz w:val="32"/>
          <w:szCs w:val="32"/>
          <w:lang w:val="en-US" w:eastAsia="zh-CN"/>
        </w:rPr>
        <w:t>0</w:t>
      </w:r>
      <w:r>
        <w:rPr>
          <w:rFonts w:ascii="仿宋_GB2312" w:hAnsi="仿宋_GB2312" w:eastAsia="仿宋_GB2312" w:cs="仿宋_GB2312"/>
          <w:sz w:val="32"/>
          <w:szCs w:val="32"/>
        </w:rPr>
        <w:t>辆</w:t>
      </w:r>
      <w:r>
        <w:rPr>
          <w:rFonts w:hint="eastAsia" w:ascii="仿宋_GB2312" w:hAnsi="仿宋_GB2312" w:eastAsia="仿宋_GB2312" w:cs="仿宋_GB2312"/>
          <w:sz w:val="32"/>
          <w:szCs w:val="32"/>
        </w:rPr>
        <w:t>、其他用车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eastAsia="zh-CN"/>
        </w:rPr>
        <w:t>2025年</w:t>
      </w:r>
      <w:r>
        <w:rPr>
          <w:rFonts w:ascii="仿宋_GB2312" w:hAnsi="仿宋_GB2312" w:eastAsia="仿宋_GB2312" w:cs="仿宋_GB2312"/>
          <w:sz w:val="32"/>
          <w:szCs w:val="32"/>
        </w:rPr>
        <w:t>部门预算安排购置单位价值100万元以上设备</w:t>
      </w:r>
      <w:r>
        <w:rPr>
          <w:rFonts w:hint="eastAsia" w:ascii="仿宋_GB2312" w:hAnsi="仿宋_GB2312" w:eastAsia="仿宋_GB2312" w:cs="仿宋_GB2312"/>
          <w:sz w:val="32"/>
          <w:szCs w:val="32"/>
          <w:lang w:val="en-US" w:eastAsia="zh-CN"/>
        </w:rPr>
        <w:t>0</w:t>
      </w:r>
      <w:r>
        <w:rPr>
          <w:rFonts w:ascii="仿宋_GB2312" w:hAnsi="仿宋_GB2312" w:eastAsia="仿宋_GB2312" w:cs="仿宋_GB2312"/>
          <w:sz w:val="32"/>
          <w:szCs w:val="32"/>
        </w:rPr>
        <w:t>台（套）。</w:t>
      </w:r>
    </w:p>
    <w:p>
      <w:pPr>
        <w:pStyle w:val="15"/>
        <w:spacing w:line="520" w:lineRule="exact"/>
        <w:rPr>
          <w:rFonts w:ascii="仿宋_GB2312" w:eastAsia="仿宋_GB2312"/>
          <w:b/>
          <w:bCs/>
          <w:sz w:val="32"/>
          <w:szCs w:val="32"/>
        </w:rPr>
      </w:pPr>
      <w:r>
        <w:rPr>
          <w:rFonts w:hint="eastAsia" w:ascii="仿宋_GB2312" w:eastAsia="仿宋_GB2312"/>
          <w:b/>
          <w:bCs/>
          <w:sz w:val="32"/>
          <w:szCs w:val="32"/>
        </w:rPr>
        <w:t xml:space="preserve">    4.预算绩效情况说明。</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2025年</w:t>
      </w:r>
      <w:r>
        <w:rPr>
          <w:rFonts w:ascii="仿宋_GB2312" w:hAnsi="仿宋_GB2312" w:eastAsia="仿宋_GB2312" w:cs="仿宋_GB2312"/>
          <w:sz w:val="32"/>
          <w:szCs w:val="32"/>
        </w:rPr>
        <w:t>丽水市莲都区人民法院审判保障服务中心其他运转类项目和特定目标类项目均实行绩效目标管理，共计0个一级项目，涉及当年资金0.00万元。同时，将按照相关制度规定开展绩效自评。一级项目绩效目标表，详见“</w:t>
      </w:r>
      <w:r>
        <w:rPr>
          <w:rFonts w:hint="eastAsia" w:ascii="仿宋_GB2312" w:hAnsi="仿宋_GB2312" w:eastAsia="仿宋_GB2312" w:cs="仿宋_GB2312"/>
          <w:sz w:val="32"/>
          <w:szCs w:val="32"/>
        </w:rPr>
        <w:t>单位</w:t>
      </w:r>
      <w:r>
        <w:rPr>
          <w:rFonts w:ascii="仿宋_GB2312" w:hAnsi="仿宋_GB2312" w:eastAsia="仿宋_GB2312" w:cs="仿宋_GB2312"/>
          <w:sz w:val="32"/>
          <w:szCs w:val="32"/>
        </w:rPr>
        <w:t>项目支出绩效表”</w:t>
      </w:r>
      <w:r>
        <w:rPr>
          <w:rFonts w:hint="eastAsia" w:ascii="仿宋_GB2312" w:hAnsi="仿宋_GB2312" w:eastAsia="仿宋_GB2312" w:cs="仿宋_GB2312"/>
          <w:sz w:val="32"/>
          <w:szCs w:val="32"/>
        </w:rPr>
        <w:t>。</w:t>
      </w:r>
    </w:p>
    <w:p>
      <w:pPr>
        <w:pStyle w:val="15"/>
        <w:spacing w:line="520" w:lineRule="exact"/>
        <w:ind w:firstLine="640" w:firstLineChars="200"/>
        <w:rPr>
          <w:rFonts w:ascii="黑体" w:hAnsi="黑体" w:eastAsia="黑体" w:cs="黑体"/>
          <w:bCs/>
          <w:kern w:val="2"/>
          <w:sz w:val="32"/>
          <w:szCs w:val="32"/>
        </w:rPr>
      </w:pPr>
      <w:r>
        <w:rPr>
          <w:rFonts w:hint="eastAsia" w:ascii="黑体" w:hAnsi="黑体" w:eastAsia="黑体" w:cs="黑体"/>
          <w:bCs/>
          <w:kern w:val="2"/>
          <w:sz w:val="32"/>
          <w:szCs w:val="32"/>
        </w:rPr>
        <w:t>三、名词解释</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1.财政拨款收入：本级财政部门当年拨付的财政预算资金，包括一般公共预算财政拨款</w:t>
      </w:r>
      <w:r>
        <w:rPr>
          <w:rFonts w:hint="eastAsia" w:ascii="仿宋_GB2312" w:eastAsia="仿宋_GB2312"/>
          <w:color w:val="000000"/>
          <w:sz w:val="32"/>
          <w:szCs w:val="32"/>
        </w:rPr>
        <w:t>、</w:t>
      </w:r>
      <w:r>
        <w:rPr>
          <w:rFonts w:hint="eastAsia" w:ascii="仿宋_GB2312" w:hAnsi="仿宋_GB2312" w:eastAsia="仿宋_GB2312" w:cs="仿宋_GB2312"/>
          <w:sz w:val="32"/>
          <w:szCs w:val="32"/>
        </w:rPr>
        <w:t>政府性基金预算和国有资本经营预算财政拨款。</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2.财政专户管理资金:教育收费作为本部门的事业收入，纳入财政专户管理的资金。</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3.事业收入：事业单位开展专业业务活动及辅助活动所取得的收入，不含财政专户管理资金收入。</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4.事业单位经营收入：事业单位在专业业务活动及辅助活动之外开展非独立核算经营活动取得的收入。</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其他收入：预算单位在“一般公共预算”“政府性基金预算”“国有资本经营预算”“财政专户管理资金”“事业收入”“事业单位经营收入”“上级补助收入”和“附属单位上缴收入”等之外取得的各项收入。</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6.上年结转结余：包括财政拨款结转结余、财政专户管理结转结余和单位资金结转结余。</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7.基本支出：是预算单位为保障其正常运转，完成日常工作任务所发生的支出，包括人员支出和日常公用支出。</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8.项目支出：是预算单位为完成其特定的行政工作任务或事业发展目标所发生的支出。</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.“三公”经费：纳入财政预决算管理的“三公”经费，是指部门用一般公共预算财政拨款安排的因公出国（境）费</w:t>
      </w:r>
      <w:r>
        <w:rPr>
          <w:rFonts w:hint="eastAsia" w:ascii="仿宋_GB2312" w:hAnsi="仿宋_GB2312" w:eastAsia="仿宋_GB2312" w:cs="仿宋_GB2312"/>
          <w:sz w:val="32"/>
          <w:szCs w:val="32"/>
          <w:lang w:val="en-US" w:eastAsia="zh-CN"/>
        </w:rPr>
        <w:t>用</w:t>
      </w:r>
      <w:r>
        <w:rPr>
          <w:rFonts w:hint="eastAsia" w:ascii="仿宋_GB2312" w:hAnsi="仿宋_GB2312" w:eastAsia="仿宋_GB2312" w:cs="仿宋_GB2312"/>
          <w:sz w:val="32"/>
          <w:szCs w:val="32"/>
        </w:rPr>
        <w:t>、公务用车购置及运行费和公务接待费。其中，因公出国（境）费</w:t>
      </w:r>
      <w:r>
        <w:rPr>
          <w:rFonts w:hint="eastAsia" w:ascii="仿宋_GB2312" w:hAnsi="仿宋_GB2312" w:eastAsia="仿宋_GB2312" w:cs="仿宋_GB2312"/>
          <w:sz w:val="32"/>
          <w:szCs w:val="32"/>
          <w:lang w:val="en-US" w:eastAsia="zh-CN"/>
        </w:rPr>
        <w:t>用</w:t>
      </w:r>
      <w:r>
        <w:rPr>
          <w:rFonts w:hint="eastAsia" w:ascii="仿宋_GB2312" w:hAnsi="仿宋_GB2312" w:eastAsia="仿宋_GB2312" w:cs="仿宋_GB2312"/>
          <w:sz w:val="32"/>
          <w:szCs w:val="32"/>
        </w:rPr>
        <w:t>反映单位公务出国（境）的国际旅费、国外城市间交通费、住宿费、伙食费、培训费、公杂费等支出，不含教学科研人员学术交流出国（境）费用；公务用车购置及运行费反映单位公务用车车辆购置支出（含车辆购置税）及燃料费、新能源汽车充电费、维修费、过桥过路费、保险费、安全奖励费用等支出；公务接待费反映单位按规定开支的各类公务接待（含外宾接待）支出。</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.机关运行经费：指为保障行政单位（含参照公务员法管理的事业单位）运行用于购买货物和服务的各项资金，包括办公</w:t>
      </w:r>
      <w:r>
        <w:rPr>
          <w:rFonts w:hint="eastAsia" w:ascii="仿宋_GB2312" w:hAnsi="仿宋_GB2312" w:eastAsia="仿宋_GB2312" w:cs="仿宋_GB2312"/>
          <w:sz w:val="32"/>
          <w:szCs w:val="32"/>
          <w:lang w:val="en-US" w:eastAsia="zh-CN"/>
        </w:rPr>
        <w:t>费、</w:t>
      </w:r>
      <w:r>
        <w:rPr>
          <w:rFonts w:hint="eastAsia" w:ascii="仿宋_GB2312" w:hAnsi="仿宋_GB2312" w:eastAsia="仿宋_GB2312" w:cs="仿宋_GB2312"/>
          <w:sz w:val="32"/>
          <w:szCs w:val="32"/>
        </w:rPr>
        <w:t>印刷费、邮电费、差旅费、会议费、福利费、日常维修费、专用材料</w:t>
      </w:r>
      <w:r>
        <w:rPr>
          <w:rFonts w:hint="eastAsia" w:ascii="仿宋_GB2312" w:hAnsi="仿宋_GB2312" w:eastAsia="仿宋_GB2312" w:cs="仿宋_GB2312"/>
          <w:sz w:val="32"/>
          <w:szCs w:val="32"/>
          <w:lang w:val="en-US" w:eastAsia="zh-CN"/>
        </w:rPr>
        <w:t>费</w:t>
      </w:r>
      <w:r>
        <w:rPr>
          <w:rFonts w:hint="eastAsia" w:ascii="仿宋_GB2312" w:hAnsi="仿宋_GB2312" w:eastAsia="仿宋_GB2312" w:cs="仿宋_GB2312"/>
          <w:sz w:val="32"/>
          <w:szCs w:val="32"/>
        </w:rPr>
        <w:t>及</w:t>
      </w:r>
      <w:r>
        <w:rPr>
          <w:rFonts w:hint="eastAsia" w:ascii="仿宋_GB2312" w:hAnsi="仿宋_GB2312" w:eastAsia="仿宋_GB2312" w:cs="仿宋_GB2312"/>
          <w:sz w:val="32"/>
          <w:szCs w:val="32"/>
          <w:lang w:val="en-US" w:eastAsia="zh-CN"/>
        </w:rPr>
        <w:t>办公</w:t>
      </w:r>
      <w:r>
        <w:rPr>
          <w:rFonts w:hint="eastAsia" w:ascii="仿宋_GB2312" w:hAnsi="仿宋_GB2312" w:eastAsia="仿宋_GB2312" w:cs="仿宋_GB2312"/>
          <w:sz w:val="32"/>
          <w:szCs w:val="32"/>
        </w:rPr>
        <w:t>设备购置费、办公用房水电费、办公用房取暖费、办公用房物业管理费、公务用车运行维护费以及其他费用。</w:t>
      </w:r>
    </w:p>
    <w:p>
      <w:pPr>
        <w:ind w:firstLine="640" w:firstLineChars="200"/>
        <w:rPr>
          <w:rFonts w:ascii="仿宋_GB2312" w:eastAsia="仿宋_GB2312"/>
          <w:b w:val="0"/>
          <w:bCs w:val="0"/>
          <w:sz w:val="32"/>
          <w:szCs w:val="32"/>
        </w:rPr>
      </w:pPr>
      <w:r>
        <w:rPr>
          <w:rFonts w:hint="eastAsia" w:ascii="仿宋_GB2312" w:hAnsi="仿宋_GB2312" w:eastAsia="仿宋_GB2312" w:cs="仿宋_GB2312"/>
          <w:b w:val="0"/>
          <w:bCs w:val="0"/>
          <w:sz w:val="32"/>
          <w:szCs w:val="32"/>
          <w:lang w:val="en-US" w:eastAsia="zh-CN"/>
        </w:rPr>
        <w:t>11</w:t>
      </w:r>
      <w:r>
        <w:rPr>
          <w:rFonts w:hint="eastAsia" w:ascii="仿宋_GB2312" w:hAnsi="仿宋_GB2312" w:eastAsia="仿宋_GB2312" w:cs="仿宋_GB2312"/>
          <w:b w:val="0"/>
          <w:bCs w:val="0"/>
          <w:sz w:val="32"/>
          <w:szCs w:val="32"/>
        </w:rPr>
        <w:t>.公共安全支出（类）法院（款）事业运行（项）：</w:t>
      </w:r>
      <w:r>
        <w:rPr>
          <w:rFonts w:hint="eastAsia" w:ascii="仿宋_GB2312" w:eastAsia="仿宋_GB2312"/>
          <w:b w:val="0"/>
          <w:bCs w:val="0"/>
          <w:sz w:val="32"/>
          <w:szCs w:val="32"/>
        </w:rPr>
        <w:t>指本院下属事业基本支出。</w:t>
      </w:r>
    </w:p>
    <w:p>
      <w:pPr>
        <w:ind w:firstLine="640" w:firstLineChars="200"/>
        <w:rPr>
          <w:rFonts w:hint="eastAsia" w:ascii="仿宋_GB2312" w:eastAsia="仿宋_GB2312"/>
          <w:b w:val="0"/>
          <w:bCs w:val="0"/>
          <w:sz w:val="32"/>
          <w:szCs w:val="32"/>
          <w:lang w:eastAsia="zh-CN"/>
        </w:rPr>
      </w:pPr>
      <w:r>
        <w:rPr>
          <w:rFonts w:hint="eastAsia" w:ascii="仿宋_GB2312" w:hAnsi="仿宋_GB2312" w:eastAsia="仿宋_GB2312" w:cs="仿宋_GB2312"/>
          <w:b w:val="0"/>
          <w:bCs w:val="0"/>
          <w:sz w:val="32"/>
          <w:szCs w:val="32"/>
          <w:lang w:val="en-US" w:eastAsia="zh-CN"/>
        </w:rPr>
        <w:t>12</w:t>
      </w:r>
      <w:r>
        <w:rPr>
          <w:rFonts w:hint="eastAsia" w:ascii="仿宋_GB2312" w:hAnsi="仿宋_GB2312" w:eastAsia="仿宋_GB2312" w:cs="仿宋_GB2312"/>
          <w:b w:val="0"/>
          <w:bCs w:val="0"/>
          <w:sz w:val="32"/>
          <w:szCs w:val="32"/>
        </w:rPr>
        <w:t>.社会保障和就业支出（类）行政事业单位</w:t>
      </w:r>
      <w:r>
        <w:rPr>
          <w:rFonts w:hint="eastAsia" w:ascii="仿宋_GB2312" w:hAnsi="仿宋_GB2312" w:eastAsia="仿宋_GB2312" w:cs="仿宋_GB2312"/>
          <w:b w:val="0"/>
          <w:bCs w:val="0"/>
          <w:sz w:val="32"/>
          <w:szCs w:val="32"/>
          <w:lang w:eastAsia="zh-CN"/>
        </w:rPr>
        <w:t>养老支出</w:t>
      </w:r>
      <w:r>
        <w:rPr>
          <w:rFonts w:hint="eastAsia" w:ascii="仿宋_GB2312" w:hAnsi="仿宋_GB2312" w:eastAsia="仿宋_GB2312" w:cs="仿宋_GB2312"/>
          <w:b w:val="0"/>
          <w:bCs w:val="0"/>
          <w:sz w:val="32"/>
          <w:szCs w:val="32"/>
        </w:rPr>
        <w:t>（款）机关事业单位基本养老保险缴费支出（项）：</w:t>
      </w:r>
      <w:r>
        <w:rPr>
          <w:rFonts w:hint="eastAsia" w:ascii="仿宋_GB2312" w:eastAsia="仿宋_GB2312"/>
          <w:b w:val="0"/>
          <w:bCs w:val="0"/>
          <w:sz w:val="32"/>
          <w:szCs w:val="32"/>
        </w:rPr>
        <w:t>指单位缴纳的基本养老保险费支出</w:t>
      </w:r>
      <w:r>
        <w:rPr>
          <w:rFonts w:hint="eastAsia" w:ascii="仿宋_GB2312" w:eastAsia="仿宋_GB2312"/>
          <w:b w:val="0"/>
          <w:bCs w:val="0"/>
          <w:sz w:val="32"/>
          <w:szCs w:val="32"/>
          <w:lang w:eastAsia="zh-CN"/>
        </w:rPr>
        <w:t>。</w:t>
      </w:r>
    </w:p>
    <w:p>
      <w:pPr>
        <w:ind w:firstLine="640" w:firstLineChars="200"/>
        <w:rPr>
          <w:rFonts w:hint="eastAsia" w:ascii="仿宋_GB2312" w:eastAsia="仿宋_GB2312"/>
          <w:b w:val="0"/>
          <w:bCs w:val="0"/>
          <w:sz w:val="32"/>
          <w:szCs w:val="32"/>
          <w:lang w:eastAsia="zh-CN"/>
        </w:rPr>
      </w:pPr>
      <w:r>
        <w:rPr>
          <w:rFonts w:hint="eastAsia" w:ascii="仿宋_GB2312" w:hAnsi="仿宋_GB2312" w:eastAsia="仿宋_GB2312" w:cs="仿宋_GB2312"/>
          <w:b w:val="0"/>
          <w:bCs w:val="0"/>
          <w:sz w:val="32"/>
          <w:szCs w:val="32"/>
          <w:lang w:val="en-US" w:eastAsia="zh-CN"/>
        </w:rPr>
        <w:t>13</w:t>
      </w:r>
      <w:r>
        <w:rPr>
          <w:rFonts w:hint="eastAsia" w:ascii="仿宋_GB2312" w:hAnsi="仿宋_GB2312" w:eastAsia="仿宋_GB2312" w:cs="仿宋_GB2312"/>
          <w:b w:val="0"/>
          <w:bCs w:val="0"/>
          <w:sz w:val="32"/>
          <w:szCs w:val="32"/>
        </w:rPr>
        <w:t>.社会保障和就业支出（类）行政事业单位</w:t>
      </w:r>
      <w:r>
        <w:rPr>
          <w:rFonts w:hint="eastAsia" w:ascii="仿宋_GB2312" w:hAnsi="仿宋_GB2312" w:eastAsia="仿宋_GB2312" w:cs="仿宋_GB2312"/>
          <w:b w:val="0"/>
          <w:bCs w:val="0"/>
          <w:sz w:val="32"/>
          <w:szCs w:val="32"/>
          <w:lang w:eastAsia="zh-CN"/>
        </w:rPr>
        <w:t>养老支出</w:t>
      </w:r>
      <w:r>
        <w:rPr>
          <w:rFonts w:hint="eastAsia" w:ascii="仿宋_GB2312" w:hAnsi="仿宋_GB2312" w:eastAsia="仿宋_GB2312" w:cs="仿宋_GB2312"/>
          <w:b w:val="0"/>
          <w:bCs w:val="0"/>
          <w:sz w:val="32"/>
          <w:szCs w:val="32"/>
        </w:rPr>
        <w:t>（款）机关事业单位职业年金缴费支出（项）：</w:t>
      </w:r>
      <w:r>
        <w:rPr>
          <w:rFonts w:hint="eastAsia" w:ascii="仿宋_GB2312" w:eastAsia="仿宋_GB2312"/>
          <w:b w:val="0"/>
          <w:bCs w:val="0"/>
          <w:sz w:val="32"/>
          <w:szCs w:val="32"/>
        </w:rPr>
        <w:t>指单位实际缴纳职业年金支出</w:t>
      </w:r>
      <w:r>
        <w:rPr>
          <w:rFonts w:hint="eastAsia" w:ascii="仿宋_GB2312" w:eastAsia="仿宋_GB2312"/>
          <w:b w:val="0"/>
          <w:bCs w:val="0"/>
          <w:sz w:val="32"/>
          <w:szCs w:val="32"/>
          <w:lang w:eastAsia="zh-CN"/>
        </w:rPr>
        <w:t>。</w:t>
      </w:r>
    </w:p>
    <w:p>
      <w:pPr>
        <w:ind w:firstLine="640" w:firstLineChars="200"/>
        <w:rPr>
          <w:rFonts w:ascii="仿宋_GB2312" w:eastAsia="仿宋_GB2312"/>
          <w:b w:val="0"/>
          <w:bCs w:val="0"/>
          <w:sz w:val="32"/>
          <w:szCs w:val="32"/>
        </w:rPr>
      </w:pPr>
      <w:r>
        <w:rPr>
          <w:rFonts w:hint="eastAsia" w:ascii="仿宋_GB2312" w:hAnsi="仿宋_GB2312" w:eastAsia="仿宋_GB2312" w:cs="仿宋_GB2312"/>
          <w:b w:val="0"/>
          <w:bCs w:val="0"/>
          <w:sz w:val="32"/>
          <w:szCs w:val="32"/>
          <w:lang w:val="en-US" w:eastAsia="zh-CN"/>
        </w:rPr>
        <w:t>14</w:t>
      </w:r>
      <w:r>
        <w:rPr>
          <w:rFonts w:hint="eastAsia" w:ascii="仿宋_GB2312" w:hAnsi="仿宋_GB2312" w:eastAsia="仿宋_GB2312" w:cs="仿宋_GB2312"/>
          <w:b w:val="0"/>
          <w:bCs w:val="0"/>
          <w:sz w:val="32"/>
          <w:szCs w:val="32"/>
        </w:rPr>
        <w:t>.社会保障和就业支出（类）行政事业单位</w:t>
      </w:r>
      <w:r>
        <w:rPr>
          <w:rFonts w:hint="eastAsia" w:ascii="仿宋_GB2312" w:hAnsi="仿宋_GB2312" w:eastAsia="仿宋_GB2312" w:cs="仿宋_GB2312"/>
          <w:b w:val="0"/>
          <w:bCs w:val="0"/>
          <w:sz w:val="32"/>
          <w:szCs w:val="32"/>
          <w:lang w:eastAsia="zh-CN"/>
        </w:rPr>
        <w:t>养老支出</w:t>
      </w:r>
      <w:r>
        <w:rPr>
          <w:rFonts w:hint="eastAsia" w:ascii="仿宋_GB2312" w:hAnsi="仿宋_GB2312" w:eastAsia="仿宋_GB2312" w:cs="仿宋_GB2312"/>
          <w:b w:val="0"/>
          <w:bCs w:val="0"/>
          <w:sz w:val="32"/>
          <w:szCs w:val="32"/>
        </w:rPr>
        <w:t>（款）其他行政事业单位</w:t>
      </w:r>
      <w:r>
        <w:rPr>
          <w:rFonts w:hint="eastAsia" w:ascii="仿宋_GB2312" w:hAnsi="仿宋_GB2312" w:eastAsia="仿宋_GB2312" w:cs="仿宋_GB2312"/>
          <w:b w:val="0"/>
          <w:bCs w:val="0"/>
          <w:sz w:val="32"/>
          <w:szCs w:val="32"/>
          <w:lang w:eastAsia="zh-CN"/>
        </w:rPr>
        <w:t>养老</w:t>
      </w:r>
      <w:r>
        <w:rPr>
          <w:rFonts w:hint="eastAsia" w:ascii="仿宋_GB2312" w:hAnsi="仿宋_GB2312" w:eastAsia="仿宋_GB2312" w:cs="仿宋_GB2312"/>
          <w:b w:val="0"/>
          <w:bCs w:val="0"/>
          <w:sz w:val="32"/>
          <w:szCs w:val="32"/>
        </w:rPr>
        <w:t>支出（项）：</w:t>
      </w:r>
      <w:r>
        <w:rPr>
          <w:rFonts w:hint="eastAsia" w:ascii="仿宋_GB2312" w:eastAsia="仿宋_GB2312"/>
          <w:b w:val="0"/>
          <w:bCs w:val="0"/>
          <w:sz w:val="32"/>
          <w:szCs w:val="32"/>
        </w:rPr>
        <w:t>指单位用于离退休方面支出。</w:t>
      </w:r>
    </w:p>
    <w:p>
      <w:pPr>
        <w:ind w:firstLine="640" w:firstLineChars="200"/>
        <w:rPr>
          <w:rFonts w:ascii="仿宋_GB2312" w:eastAsia="仿宋_GB2312"/>
          <w:b w:val="0"/>
          <w:bCs w:val="0"/>
          <w:sz w:val="32"/>
          <w:szCs w:val="32"/>
        </w:rPr>
      </w:pPr>
      <w:r>
        <w:rPr>
          <w:rFonts w:hint="eastAsia" w:ascii="仿宋_GB2312" w:hAnsi="仿宋_GB2312" w:eastAsia="仿宋_GB2312" w:cs="仿宋_GB2312"/>
          <w:b w:val="0"/>
          <w:bCs w:val="0"/>
          <w:sz w:val="32"/>
          <w:szCs w:val="32"/>
          <w:lang w:val="en-US" w:eastAsia="zh-CN"/>
        </w:rPr>
        <w:t>15</w:t>
      </w:r>
      <w:r>
        <w:rPr>
          <w:rFonts w:hint="eastAsia" w:ascii="仿宋_GB2312" w:hAnsi="仿宋_GB2312" w:eastAsia="仿宋_GB2312" w:cs="仿宋_GB2312"/>
          <w:b w:val="0"/>
          <w:bCs w:val="0"/>
          <w:sz w:val="32"/>
          <w:szCs w:val="32"/>
        </w:rPr>
        <w:t>.卫生健康支出（类）行政事业单位医疗（款）事业单位医疗（项）：</w:t>
      </w:r>
      <w:r>
        <w:rPr>
          <w:rFonts w:hint="eastAsia" w:ascii="仿宋_GB2312" w:eastAsia="仿宋_GB2312"/>
          <w:b w:val="0"/>
          <w:bCs w:val="0"/>
          <w:sz w:val="32"/>
          <w:szCs w:val="32"/>
        </w:rPr>
        <w:t>指事业单位缴纳医疗保险费支出。</w:t>
      </w:r>
    </w:p>
    <w:p>
      <w:pPr>
        <w:ind w:firstLine="640" w:firstLineChars="200"/>
        <w:rPr>
          <w:rFonts w:ascii="仿宋_GB2312" w:eastAsia="仿宋_GB2312"/>
          <w:b w:val="0"/>
          <w:bCs w:val="0"/>
          <w:sz w:val="32"/>
          <w:szCs w:val="32"/>
        </w:rPr>
      </w:pPr>
      <w:r>
        <w:rPr>
          <w:rFonts w:hint="eastAsia" w:ascii="仿宋_GB2312" w:hAnsi="仿宋_GB2312" w:eastAsia="仿宋_GB2312" w:cs="仿宋_GB2312"/>
          <w:b w:val="0"/>
          <w:bCs w:val="0"/>
          <w:sz w:val="32"/>
          <w:szCs w:val="32"/>
          <w:lang w:val="en-US" w:eastAsia="zh-CN"/>
        </w:rPr>
        <w:t>16</w:t>
      </w:r>
      <w:r>
        <w:rPr>
          <w:rFonts w:hint="eastAsia" w:ascii="仿宋_GB2312" w:hAnsi="仿宋_GB2312" w:eastAsia="仿宋_GB2312" w:cs="仿宋_GB2312"/>
          <w:b w:val="0"/>
          <w:bCs w:val="0"/>
          <w:sz w:val="32"/>
          <w:szCs w:val="32"/>
        </w:rPr>
        <w:t>.住房保障支出（类）住房改革支出（款）住房公积金（项）：</w:t>
      </w:r>
      <w:r>
        <w:rPr>
          <w:rFonts w:hint="eastAsia" w:ascii="仿宋_GB2312" w:eastAsia="仿宋_GB2312"/>
          <w:b w:val="0"/>
          <w:bCs w:val="0"/>
          <w:sz w:val="32"/>
          <w:szCs w:val="32"/>
        </w:rPr>
        <w:t>指单位为职工缴纳的住房公积金支出。</w:t>
      </w:r>
    </w:p>
    <w:p>
      <w:pPr>
        <w:spacing w:line="520" w:lineRule="exact"/>
      </w:pPr>
    </w:p>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start="6"/>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95A99C"/>
    <w:multiLevelType w:val="singleLevel"/>
    <w:tmpl w:val="5895A99C"/>
    <w:lvl w:ilvl="0" w:tentative="0">
      <w:start w:val="5"/>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8453C"/>
    <w:rsid w:val="00037FBA"/>
    <w:rsid w:val="00084C3B"/>
    <w:rsid w:val="000F6704"/>
    <w:rsid w:val="0014553D"/>
    <w:rsid w:val="00151805"/>
    <w:rsid w:val="0018453C"/>
    <w:rsid w:val="001C6D6F"/>
    <w:rsid w:val="001D7273"/>
    <w:rsid w:val="001F186B"/>
    <w:rsid w:val="0025199F"/>
    <w:rsid w:val="00262BFB"/>
    <w:rsid w:val="002E190E"/>
    <w:rsid w:val="00312421"/>
    <w:rsid w:val="0034320B"/>
    <w:rsid w:val="0035041B"/>
    <w:rsid w:val="00352D79"/>
    <w:rsid w:val="003533AA"/>
    <w:rsid w:val="00372A55"/>
    <w:rsid w:val="003A54FF"/>
    <w:rsid w:val="003E68CE"/>
    <w:rsid w:val="004C1A7E"/>
    <w:rsid w:val="004E07B6"/>
    <w:rsid w:val="004F65D0"/>
    <w:rsid w:val="004F6D96"/>
    <w:rsid w:val="0054517F"/>
    <w:rsid w:val="0055355B"/>
    <w:rsid w:val="00576237"/>
    <w:rsid w:val="005B1AB5"/>
    <w:rsid w:val="005D0D77"/>
    <w:rsid w:val="005E0A27"/>
    <w:rsid w:val="005E47B3"/>
    <w:rsid w:val="005E7D52"/>
    <w:rsid w:val="00655F61"/>
    <w:rsid w:val="006B2E4F"/>
    <w:rsid w:val="006C39E2"/>
    <w:rsid w:val="006D5442"/>
    <w:rsid w:val="006D7FE3"/>
    <w:rsid w:val="006E085B"/>
    <w:rsid w:val="006F455E"/>
    <w:rsid w:val="007072D9"/>
    <w:rsid w:val="00731A0A"/>
    <w:rsid w:val="0073245A"/>
    <w:rsid w:val="00755A48"/>
    <w:rsid w:val="007715EF"/>
    <w:rsid w:val="007A0C65"/>
    <w:rsid w:val="007B431F"/>
    <w:rsid w:val="007D24B2"/>
    <w:rsid w:val="007E4CC3"/>
    <w:rsid w:val="00801E01"/>
    <w:rsid w:val="00823268"/>
    <w:rsid w:val="00834DDF"/>
    <w:rsid w:val="00850DC9"/>
    <w:rsid w:val="0089440C"/>
    <w:rsid w:val="00937AE8"/>
    <w:rsid w:val="009415A1"/>
    <w:rsid w:val="009427F2"/>
    <w:rsid w:val="009A7459"/>
    <w:rsid w:val="009B71E7"/>
    <w:rsid w:val="00A76362"/>
    <w:rsid w:val="00A86842"/>
    <w:rsid w:val="00AB2741"/>
    <w:rsid w:val="00B109C2"/>
    <w:rsid w:val="00B85FDA"/>
    <w:rsid w:val="00BA6311"/>
    <w:rsid w:val="00C35F38"/>
    <w:rsid w:val="00C35FDD"/>
    <w:rsid w:val="00C47BB8"/>
    <w:rsid w:val="00C50353"/>
    <w:rsid w:val="00C52D1F"/>
    <w:rsid w:val="00CC1B9F"/>
    <w:rsid w:val="00CE3F52"/>
    <w:rsid w:val="00D7617F"/>
    <w:rsid w:val="00D81B35"/>
    <w:rsid w:val="00DA4451"/>
    <w:rsid w:val="00DA6F5B"/>
    <w:rsid w:val="00DA7F84"/>
    <w:rsid w:val="00DF037C"/>
    <w:rsid w:val="00E16F71"/>
    <w:rsid w:val="00E20FB4"/>
    <w:rsid w:val="00E40834"/>
    <w:rsid w:val="00E429D8"/>
    <w:rsid w:val="00E44C58"/>
    <w:rsid w:val="00E61E40"/>
    <w:rsid w:val="00E925CD"/>
    <w:rsid w:val="00E95C9E"/>
    <w:rsid w:val="00ED0384"/>
    <w:rsid w:val="00F23B56"/>
    <w:rsid w:val="00F56A05"/>
    <w:rsid w:val="00F7116F"/>
    <w:rsid w:val="01405C62"/>
    <w:rsid w:val="01560304"/>
    <w:rsid w:val="01F263DB"/>
    <w:rsid w:val="01F648EB"/>
    <w:rsid w:val="024C6702"/>
    <w:rsid w:val="026505B4"/>
    <w:rsid w:val="028630A1"/>
    <w:rsid w:val="02FD4879"/>
    <w:rsid w:val="038C7FF1"/>
    <w:rsid w:val="03AA3E3B"/>
    <w:rsid w:val="03EA5C50"/>
    <w:rsid w:val="0458580D"/>
    <w:rsid w:val="04600135"/>
    <w:rsid w:val="05054F3D"/>
    <w:rsid w:val="05F46152"/>
    <w:rsid w:val="05F835B0"/>
    <w:rsid w:val="06113422"/>
    <w:rsid w:val="0627739D"/>
    <w:rsid w:val="063B27DE"/>
    <w:rsid w:val="064C1334"/>
    <w:rsid w:val="065E25EC"/>
    <w:rsid w:val="06835E42"/>
    <w:rsid w:val="06F965CB"/>
    <w:rsid w:val="07487AC1"/>
    <w:rsid w:val="07623DA7"/>
    <w:rsid w:val="081119C7"/>
    <w:rsid w:val="087E40F0"/>
    <w:rsid w:val="08DE4DFD"/>
    <w:rsid w:val="0A1D1E06"/>
    <w:rsid w:val="0A4C7CCD"/>
    <w:rsid w:val="0B486D9D"/>
    <w:rsid w:val="0B4F52A1"/>
    <w:rsid w:val="0B652DFD"/>
    <w:rsid w:val="0B654246"/>
    <w:rsid w:val="0BD448F3"/>
    <w:rsid w:val="0C7B7749"/>
    <w:rsid w:val="0CE2397A"/>
    <w:rsid w:val="0CEE5818"/>
    <w:rsid w:val="0DDF3EA9"/>
    <w:rsid w:val="0F0A0BC6"/>
    <w:rsid w:val="0F216C64"/>
    <w:rsid w:val="0F3E23E2"/>
    <w:rsid w:val="0F5C4EB1"/>
    <w:rsid w:val="0F760C96"/>
    <w:rsid w:val="0F8B51E9"/>
    <w:rsid w:val="0FEA06B3"/>
    <w:rsid w:val="106B2554"/>
    <w:rsid w:val="1085571C"/>
    <w:rsid w:val="10AD6224"/>
    <w:rsid w:val="113F7BA5"/>
    <w:rsid w:val="12970A77"/>
    <w:rsid w:val="12D300E7"/>
    <w:rsid w:val="136B79EF"/>
    <w:rsid w:val="1370543F"/>
    <w:rsid w:val="13811EEE"/>
    <w:rsid w:val="13FF3975"/>
    <w:rsid w:val="14861683"/>
    <w:rsid w:val="14887B46"/>
    <w:rsid w:val="14EF3497"/>
    <w:rsid w:val="153C45B3"/>
    <w:rsid w:val="15603B88"/>
    <w:rsid w:val="157947AC"/>
    <w:rsid w:val="15DB09EF"/>
    <w:rsid w:val="1650535C"/>
    <w:rsid w:val="16B75B8F"/>
    <w:rsid w:val="16FE1938"/>
    <w:rsid w:val="170C3948"/>
    <w:rsid w:val="1767003A"/>
    <w:rsid w:val="178056C8"/>
    <w:rsid w:val="17EC7FC1"/>
    <w:rsid w:val="17F81734"/>
    <w:rsid w:val="180061CB"/>
    <w:rsid w:val="18154C5A"/>
    <w:rsid w:val="18EF3804"/>
    <w:rsid w:val="19001E74"/>
    <w:rsid w:val="190A36EC"/>
    <w:rsid w:val="195C3A7E"/>
    <w:rsid w:val="19D24B5E"/>
    <w:rsid w:val="1A2375F0"/>
    <w:rsid w:val="1AC0275A"/>
    <w:rsid w:val="1AE500E3"/>
    <w:rsid w:val="1B0C337A"/>
    <w:rsid w:val="1B1D1342"/>
    <w:rsid w:val="1B2A6629"/>
    <w:rsid w:val="1BBC2184"/>
    <w:rsid w:val="1C103D2D"/>
    <w:rsid w:val="1C1965EC"/>
    <w:rsid w:val="1C7701B9"/>
    <w:rsid w:val="1CEA3F89"/>
    <w:rsid w:val="1CF73295"/>
    <w:rsid w:val="1D451326"/>
    <w:rsid w:val="1D5F4748"/>
    <w:rsid w:val="1D99665F"/>
    <w:rsid w:val="1E367E66"/>
    <w:rsid w:val="1E621D9B"/>
    <w:rsid w:val="1E9448CB"/>
    <w:rsid w:val="1E945AB3"/>
    <w:rsid w:val="1EA3498E"/>
    <w:rsid w:val="1EFB5835"/>
    <w:rsid w:val="1F5052F4"/>
    <w:rsid w:val="1F8A1433"/>
    <w:rsid w:val="1FD94E57"/>
    <w:rsid w:val="205247F6"/>
    <w:rsid w:val="205508A0"/>
    <w:rsid w:val="206501BF"/>
    <w:rsid w:val="20C21B5F"/>
    <w:rsid w:val="20D8491F"/>
    <w:rsid w:val="2163103A"/>
    <w:rsid w:val="217D79B3"/>
    <w:rsid w:val="219B3B12"/>
    <w:rsid w:val="219E2440"/>
    <w:rsid w:val="21F8300E"/>
    <w:rsid w:val="22D4227E"/>
    <w:rsid w:val="22FA27EC"/>
    <w:rsid w:val="230477A4"/>
    <w:rsid w:val="234550B7"/>
    <w:rsid w:val="2384696C"/>
    <w:rsid w:val="23B968AE"/>
    <w:rsid w:val="240772FF"/>
    <w:rsid w:val="24183DF0"/>
    <w:rsid w:val="247778DD"/>
    <w:rsid w:val="247A77A8"/>
    <w:rsid w:val="24D6630F"/>
    <w:rsid w:val="24F84929"/>
    <w:rsid w:val="252A0A7B"/>
    <w:rsid w:val="257B506C"/>
    <w:rsid w:val="259F7519"/>
    <w:rsid w:val="25AF42DB"/>
    <w:rsid w:val="25B348BA"/>
    <w:rsid w:val="25DE1005"/>
    <w:rsid w:val="25FD2566"/>
    <w:rsid w:val="26146B0C"/>
    <w:rsid w:val="26816946"/>
    <w:rsid w:val="26DB7398"/>
    <w:rsid w:val="27033FBD"/>
    <w:rsid w:val="2705728B"/>
    <w:rsid w:val="27417BF8"/>
    <w:rsid w:val="27693B45"/>
    <w:rsid w:val="283A129B"/>
    <w:rsid w:val="28FE78EF"/>
    <w:rsid w:val="292633CD"/>
    <w:rsid w:val="2938669D"/>
    <w:rsid w:val="29672817"/>
    <w:rsid w:val="29763DAA"/>
    <w:rsid w:val="29954B63"/>
    <w:rsid w:val="29A41943"/>
    <w:rsid w:val="29B831E7"/>
    <w:rsid w:val="29DF16A7"/>
    <w:rsid w:val="29F74F67"/>
    <w:rsid w:val="2A484907"/>
    <w:rsid w:val="2B6F414B"/>
    <w:rsid w:val="2B755902"/>
    <w:rsid w:val="2BA81833"/>
    <w:rsid w:val="2BAC3F70"/>
    <w:rsid w:val="2BB02AB9"/>
    <w:rsid w:val="2C56166B"/>
    <w:rsid w:val="2C772798"/>
    <w:rsid w:val="2CE33635"/>
    <w:rsid w:val="2CE43062"/>
    <w:rsid w:val="2D391980"/>
    <w:rsid w:val="2D7C6F9A"/>
    <w:rsid w:val="2ED263DE"/>
    <w:rsid w:val="2F312BD6"/>
    <w:rsid w:val="2F4F315F"/>
    <w:rsid w:val="2F5260FE"/>
    <w:rsid w:val="2F78760A"/>
    <w:rsid w:val="30780EC9"/>
    <w:rsid w:val="309A0801"/>
    <w:rsid w:val="31651329"/>
    <w:rsid w:val="31C46552"/>
    <w:rsid w:val="31E64CCC"/>
    <w:rsid w:val="31EC7268"/>
    <w:rsid w:val="32691E0F"/>
    <w:rsid w:val="33722AF4"/>
    <w:rsid w:val="339F6CDD"/>
    <w:rsid w:val="344952F9"/>
    <w:rsid w:val="34962644"/>
    <w:rsid w:val="34F20284"/>
    <w:rsid w:val="3619346A"/>
    <w:rsid w:val="366152C5"/>
    <w:rsid w:val="36BE574F"/>
    <w:rsid w:val="37DD34EA"/>
    <w:rsid w:val="3859649B"/>
    <w:rsid w:val="386D2696"/>
    <w:rsid w:val="38CA384A"/>
    <w:rsid w:val="39227B1B"/>
    <w:rsid w:val="39406911"/>
    <w:rsid w:val="39850296"/>
    <w:rsid w:val="39BC6F7A"/>
    <w:rsid w:val="39C26750"/>
    <w:rsid w:val="3A7F1D43"/>
    <w:rsid w:val="3A8D223E"/>
    <w:rsid w:val="3B291386"/>
    <w:rsid w:val="3B563038"/>
    <w:rsid w:val="3B7A306D"/>
    <w:rsid w:val="3B80307E"/>
    <w:rsid w:val="3BCA7BD7"/>
    <w:rsid w:val="3C6C37E2"/>
    <w:rsid w:val="3C7D1C3F"/>
    <w:rsid w:val="3CDF42B5"/>
    <w:rsid w:val="3CEA3E5A"/>
    <w:rsid w:val="3CFD6A0C"/>
    <w:rsid w:val="3DDA1E4D"/>
    <w:rsid w:val="3FA02728"/>
    <w:rsid w:val="400943B7"/>
    <w:rsid w:val="40143523"/>
    <w:rsid w:val="406B2735"/>
    <w:rsid w:val="4171469C"/>
    <w:rsid w:val="41857EAB"/>
    <w:rsid w:val="42C454C8"/>
    <w:rsid w:val="42EC4BA0"/>
    <w:rsid w:val="43482ADF"/>
    <w:rsid w:val="43497E11"/>
    <w:rsid w:val="438C52D1"/>
    <w:rsid w:val="43AF1DC7"/>
    <w:rsid w:val="442360D8"/>
    <w:rsid w:val="450B3104"/>
    <w:rsid w:val="45374F70"/>
    <w:rsid w:val="45A32D85"/>
    <w:rsid w:val="45E922E2"/>
    <w:rsid w:val="46181B9F"/>
    <w:rsid w:val="46B73DB3"/>
    <w:rsid w:val="46B85A12"/>
    <w:rsid w:val="46C20ABF"/>
    <w:rsid w:val="471C5409"/>
    <w:rsid w:val="475E76EE"/>
    <w:rsid w:val="47B54AE2"/>
    <w:rsid w:val="47C24104"/>
    <w:rsid w:val="484652C3"/>
    <w:rsid w:val="489E735B"/>
    <w:rsid w:val="48EF215B"/>
    <w:rsid w:val="49547ADE"/>
    <w:rsid w:val="499358EA"/>
    <w:rsid w:val="49A70025"/>
    <w:rsid w:val="4A9518DB"/>
    <w:rsid w:val="4AB935E6"/>
    <w:rsid w:val="4B1F601E"/>
    <w:rsid w:val="4B65339C"/>
    <w:rsid w:val="4BE2220E"/>
    <w:rsid w:val="4CBF2857"/>
    <w:rsid w:val="4CF82AE4"/>
    <w:rsid w:val="4D097364"/>
    <w:rsid w:val="4D667BB3"/>
    <w:rsid w:val="4D7808AB"/>
    <w:rsid w:val="4DC87963"/>
    <w:rsid w:val="4E0626FD"/>
    <w:rsid w:val="4EA45B39"/>
    <w:rsid w:val="4EED2017"/>
    <w:rsid w:val="4F2E2211"/>
    <w:rsid w:val="4F4E78CD"/>
    <w:rsid w:val="4FA62E1E"/>
    <w:rsid w:val="4FAC0AB2"/>
    <w:rsid w:val="4FC809F8"/>
    <w:rsid w:val="4FE85961"/>
    <w:rsid w:val="50072C4D"/>
    <w:rsid w:val="50341189"/>
    <w:rsid w:val="50837233"/>
    <w:rsid w:val="514C5668"/>
    <w:rsid w:val="51513799"/>
    <w:rsid w:val="518C29B6"/>
    <w:rsid w:val="52170DB7"/>
    <w:rsid w:val="52AA23A8"/>
    <w:rsid w:val="52B7187A"/>
    <w:rsid w:val="52BF3A93"/>
    <w:rsid w:val="53A5465B"/>
    <w:rsid w:val="53B6028C"/>
    <w:rsid w:val="54392B16"/>
    <w:rsid w:val="54442E65"/>
    <w:rsid w:val="545B2AA1"/>
    <w:rsid w:val="549B5701"/>
    <w:rsid w:val="54A9277D"/>
    <w:rsid w:val="54CA0102"/>
    <w:rsid w:val="5507019B"/>
    <w:rsid w:val="55182E77"/>
    <w:rsid w:val="553F16B7"/>
    <w:rsid w:val="558856A9"/>
    <w:rsid w:val="55CA2A9E"/>
    <w:rsid w:val="55CA3B80"/>
    <w:rsid w:val="55E50F1B"/>
    <w:rsid w:val="565F6886"/>
    <w:rsid w:val="56BC237C"/>
    <w:rsid w:val="56CD4B4D"/>
    <w:rsid w:val="57472773"/>
    <w:rsid w:val="575C7815"/>
    <w:rsid w:val="5798381B"/>
    <w:rsid w:val="57D4447A"/>
    <w:rsid w:val="57F759F2"/>
    <w:rsid w:val="584C6FC9"/>
    <w:rsid w:val="585447AE"/>
    <w:rsid w:val="58AF736D"/>
    <w:rsid w:val="58D704D4"/>
    <w:rsid w:val="58EC4DE1"/>
    <w:rsid w:val="596B72CE"/>
    <w:rsid w:val="59B3494A"/>
    <w:rsid w:val="59EB1B1F"/>
    <w:rsid w:val="59EC6E24"/>
    <w:rsid w:val="5A0B2520"/>
    <w:rsid w:val="5A186813"/>
    <w:rsid w:val="5A3B2376"/>
    <w:rsid w:val="5A40591F"/>
    <w:rsid w:val="5A6F0692"/>
    <w:rsid w:val="5ABF2E42"/>
    <w:rsid w:val="5B586398"/>
    <w:rsid w:val="5B5E26D5"/>
    <w:rsid w:val="5B6E31F0"/>
    <w:rsid w:val="5B916903"/>
    <w:rsid w:val="5BEF472E"/>
    <w:rsid w:val="5C932202"/>
    <w:rsid w:val="5CC87E6F"/>
    <w:rsid w:val="5CD918EA"/>
    <w:rsid w:val="5D247D3D"/>
    <w:rsid w:val="5DAE1AC9"/>
    <w:rsid w:val="5E153AF5"/>
    <w:rsid w:val="5F0E1E7F"/>
    <w:rsid w:val="5F112305"/>
    <w:rsid w:val="5F2767B3"/>
    <w:rsid w:val="5FE31F70"/>
    <w:rsid w:val="60045498"/>
    <w:rsid w:val="614C1844"/>
    <w:rsid w:val="617A6C2D"/>
    <w:rsid w:val="61855523"/>
    <w:rsid w:val="618968F0"/>
    <w:rsid w:val="619E6355"/>
    <w:rsid w:val="61BD64DA"/>
    <w:rsid w:val="6215384D"/>
    <w:rsid w:val="627460EE"/>
    <w:rsid w:val="62AC06BC"/>
    <w:rsid w:val="633B4987"/>
    <w:rsid w:val="63525D55"/>
    <w:rsid w:val="63F321C7"/>
    <w:rsid w:val="64BD699D"/>
    <w:rsid w:val="64C20A08"/>
    <w:rsid w:val="64E64E72"/>
    <w:rsid w:val="64F06443"/>
    <w:rsid w:val="65737FB9"/>
    <w:rsid w:val="65DF5ECF"/>
    <w:rsid w:val="661D7FD4"/>
    <w:rsid w:val="665A45AE"/>
    <w:rsid w:val="66A662C4"/>
    <w:rsid w:val="66DE2D4E"/>
    <w:rsid w:val="67222B8A"/>
    <w:rsid w:val="679D182D"/>
    <w:rsid w:val="67BB6396"/>
    <w:rsid w:val="682C6C39"/>
    <w:rsid w:val="68794E30"/>
    <w:rsid w:val="687B5327"/>
    <w:rsid w:val="688621C1"/>
    <w:rsid w:val="68C15BDE"/>
    <w:rsid w:val="6AD23ACD"/>
    <w:rsid w:val="6AE706B2"/>
    <w:rsid w:val="6B103823"/>
    <w:rsid w:val="6B315A81"/>
    <w:rsid w:val="6B4E7636"/>
    <w:rsid w:val="6C3F4637"/>
    <w:rsid w:val="6C9D07C7"/>
    <w:rsid w:val="6CB426A8"/>
    <w:rsid w:val="6D3835CD"/>
    <w:rsid w:val="6D9B59D3"/>
    <w:rsid w:val="6DDF18A8"/>
    <w:rsid w:val="6E7742D5"/>
    <w:rsid w:val="6E947A29"/>
    <w:rsid w:val="6EFB1E55"/>
    <w:rsid w:val="701E0D35"/>
    <w:rsid w:val="708C2BAE"/>
    <w:rsid w:val="717A54B6"/>
    <w:rsid w:val="71E47115"/>
    <w:rsid w:val="72124418"/>
    <w:rsid w:val="72BF52A3"/>
    <w:rsid w:val="73520170"/>
    <w:rsid w:val="73B32D5B"/>
    <w:rsid w:val="74906E74"/>
    <w:rsid w:val="74D2633E"/>
    <w:rsid w:val="75061B64"/>
    <w:rsid w:val="75127B2A"/>
    <w:rsid w:val="756B70AB"/>
    <w:rsid w:val="762D45E7"/>
    <w:rsid w:val="76432C97"/>
    <w:rsid w:val="76472E5B"/>
    <w:rsid w:val="76622032"/>
    <w:rsid w:val="76CE2F46"/>
    <w:rsid w:val="76DA2B8D"/>
    <w:rsid w:val="773F1B2E"/>
    <w:rsid w:val="776141C0"/>
    <w:rsid w:val="778A579D"/>
    <w:rsid w:val="77E71EE7"/>
    <w:rsid w:val="78403651"/>
    <w:rsid w:val="784051C1"/>
    <w:rsid w:val="789E16E5"/>
    <w:rsid w:val="78DB40C6"/>
    <w:rsid w:val="7954401D"/>
    <w:rsid w:val="79547EF1"/>
    <w:rsid w:val="79A24C96"/>
    <w:rsid w:val="7AC02D1F"/>
    <w:rsid w:val="7AE80A7B"/>
    <w:rsid w:val="7AE861A8"/>
    <w:rsid w:val="7B452E9A"/>
    <w:rsid w:val="7B5C7060"/>
    <w:rsid w:val="7B5E14E4"/>
    <w:rsid w:val="7B741965"/>
    <w:rsid w:val="7BBF78B4"/>
    <w:rsid w:val="7BFE30BC"/>
    <w:rsid w:val="7C0A7BF1"/>
    <w:rsid w:val="7CD24C07"/>
    <w:rsid w:val="7CDD0037"/>
    <w:rsid w:val="7D2C5AF6"/>
    <w:rsid w:val="7D8F4D87"/>
    <w:rsid w:val="7DBB66FE"/>
    <w:rsid w:val="7DBE27C1"/>
    <w:rsid w:val="7DCA5F0F"/>
    <w:rsid w:val="7E1F736F"/>
    <w:rsid w:val="7E300305"/>
    <w:rsid w:val="7E7D74C3"/>
    <w:rsid w:val="7EB52BD6"/>
    <w:rsid w:val="7F346A78"/>
    <w:rsid w:val="7FA57776"/>
    <w:rsid w:val="7FC2506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hint="eastAsia" w:ascii="仿宋_GB2312" w:hAnsi="仿宋_GB2312" w:eastAsia="仿宋_GB2312" w:cs="Times New Roman"/>
      <w:color w:val="000000"/>
      <w:sz w:val="24"/>
      <w:szCs w:val="22"/>
      <w:lang w:val="en-US" w:eastAsia="zh-CN" w:bidi="ar-SA"/>
    </w:rPr>
  </w:style>
  <w:style w:type="paragraph" w:styleId="3">
    <w:name w:val="Document Map"/>
    <w:basedOn w:val="1"/>
    <w:semiHidden/>
    <w:qFormat/>
    <w:uiPriority w:val="0"/>
    <w:pPr>
      <w:shd w:val="clear" w:color="auto" w:fill="000080"/>
    </w:pPr>
  </w:style>
  <w:style w:type="paragraph" w:styleId="4">
    <w:name w:val="footer"/>
    <w:basedOn w:val="1"/>
    <w:link w:val="13"/>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0"/>
    <w:rPr>
      <w:b/>
      <w:bCs/>
    </w:rPr>
  </w:style>
  <w:style w:type="paragraph" w:customStyle="1" w:styleId="11">
    <w:name w:val="Char"/>
    <w:basedOn w:val="1"/>
    <w:qFormat/>
    <w:uiPriority w:val="0"/>
    <w:rPr>
      <w:rFonts w:ascii="宋体" w:hAnsi="宋体" w:cs="Courier New"/>
      <w:sz w:val="32"/>
      <w:szCs w:val="32"/>
    </w:rPr>
  </w:style>
  <w:style w:type="character" w:customStyle="1" w:styleId="12">
    <w:name w:val="页眉 Char"/>
    <w:link w:val="5"/>
    <w:qFormat/>
    <w:uiPriority w:val="0"/>
    <w:rPr>
      <w:kern w:val="2"/>
      <w:sz w:val="18"/>
      <w:szCs w:val="18"/>
    </w:rPr>
  </w:style>
  <w:style w:type="character" w:customStyle="1" w:styleId="13">
    <w:name w:val="页脚 Char"/>
    <w:link w:val="4"/>
    <w:qFormat/>
    <w:uiPriority w:val="0"/>
    <w:rPr>
      <w:kern w:val="2"/>
      <w:sz w:val="18"/>
      <w:szCs w:val="18"/>
    </w:rPr>
  </w:style>
  <w:style w:type="paragraph" w:customStyle="1" w:styleId="14">
    <w:name w:val="[Normal]"/>
    <w:qFormat/>
    <w:uiPriority w:val="0"/>
    <w:rPr>
      <w:rFonts w:ascii="宋体" w:hAnsi="宋体" w:eastAsia="宋体" w:cs="Times New Roman"/>
      <w:sz w:val="24"/>
      <w:lang w:val="zh-CN" w:eastAsia="zh-CN" w:bidi="ar-SA"/>
    </w:rPr>
  </w:style>
  <w:style w:type="paragraph" w:customStyle="1" w:styleId="15">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xc</Company>
  <Pages>19</Pages>
  <Words>9460</Words>
  <Characters>10215</Characters>
  <Lines>145</Lines>
  <Paragraphs>54</Paragraphs>
  <TotalTime>1</TotalTime>
  <ScaleCrop>false</ScaleCrop>
  <LinksUpToDate>false</LinksUpToDate>
  <CharactersWithSpaces>10242</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2020-01-06T08:45:00Z</dcterms:created>
  <dc:creator>dsx</dc:creator>
  <cp:lastModifiedBy>Administrator</cp:lastModifiedBy>
  <dcterms:modified xsi:type="dcterms:W3CDTF">2025-03-04T02:23:26Z</dcterms:modified>
  <dc:title>关于2019年部门预算的批复</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EDOID">
    <vt:r8>5838458</vt:r8>
  </property>
  <property fmtid="{D5CDD505-2E9C-101B-9397-08002B2CF9AE}" pid="4" name="ICV">
    <vt:lpwstr>AE293BE06396464AB610D12C04197BE8_13</vt:lpwstr>
  </property>
  <property fmtid="{D5CDD505-2E9C-101B-9397-08002B2CF9AE}" pid="5" name="KSOTemplateDocerSaveRecord">
    <vt:lpwstr>eyJoZGlkIjoiMDkyMzBhOWU1ZmQyNTE3YzlkZWViNjFmMzM0OWUyNGQifQ==</vt:lpwstr>
  </property>
</Properties>
</file>