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丽水市莲都区人民法院</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11"/>
          <w:color w:val="000000"/>
          <w:sz w:val="30"/>
          <w:szCs w:val="30"/>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p>
    <w:p>
      <w:pPr>
        <w:spacing w:line="520" w:lineRule="exact"/>
        <w:rPr>
          <w:rStyle w:val="11"/>
          <w:rFonts w:ascii="黑体" w:eastAsia="黑体"/>
          <w:b w:val="0"/>
          <w:color w:val="000000"/>
          <w:sz w:val="32"/>
          <w:szCs w:val="32"/>
        </w:rPr>
      </w:pPr>
    </w:p>
    <w:p>
      <w:pPr>
        <w:spacing w:line="520" w:lineRule="exact"/>
        <w:ind w:firstLine="627" w:firstLineChars="196"/>
        <w:jc w:val="center"/>
        <w:rPr>
          <w:rStyle w:val="11"/>
          <w:rFonts w:ascii="黑体" w:eastAsia="黑体"/>
          <w:b w:val="0"/>
          <w:color w:val="000000"/>
          <w:sz w:val="32"/>
          <w:szCs w:val="32"/>
        </w:rPr>
      </w:pPr>
      <w:r>
        <w:rPr>
          <w:rStyle w:val="11"/>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1"/>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二、</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t>丽水市莲都区人民法院单位预算安排情况说明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（九）关于丽水市莲都区人民法院</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1"/>
          <w:rFonts w:ascii="黑体" w:hAnsi="Calibri" w:eastAsia="黑体"/>
          <w:b w:val="0"/>
          <w:color w:val="000000"/>
          <w:kern w:val="2"/>
          <w:sz w:val="32"/>
          <w:szCs w:val="32"/>
        </w:rPr>
      </w:pPr>
      <w:r>
        <w:rPr>
          <w:rStyle w:val="11"/>
          <w:rFonts w:hint="eastAsia" w:ascii="黑体" w:hAnsi="Calibri" w:eastAsia="黑体"/>
          <w:b w:val="0"/>
          <w:color w:val="000000"/>
          <w:kern w:val="2"/>
          <w:sz w:val="32"/>
          <w:szCs w:val="32"/>
        </w:rPr>
        <w:t>三、名词解释</w:t>
      </w:r>
    </w:p>
    <w:p>
      <w:pPr>
        <w:spacing w:line="520" w:lineRule="exact"/>
        <w:rPr>
          <w:rStyle w:val="11"/>
          <w:rFonts w:ascii="黑体" w:eastAsia="黑体"/>
          <w:b w:val="0"/>
          <w:color w:val="000000"/>
          <w:sz w:val="32"/>
          <w:szCs w:val="32"/>
        </w:rPr>
      </w:pPr>
      <w:r>
        <w:rPr>
          <w:rStyle w:val="11"/>
          <w:rFonts w:hint="eastAsia" w:ascii="黑体" w:eastAsia="黑体"/>
          <w:b w:val="0"/>
          <w:color w:val="000000"/>
          <w:sz w:val="32"/>
          <w:szCs w:val="32"/>
        </w:rPr>
        <w:t>四、</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t>丽水市莲都区人民法院单位预算表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11"/>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rPr>
          <w:rStyle w:val="11"/>
          <w:rFonts w:hint="default" w:ascii="黑体" w:eastAsia="黑体"/>
          <w:b w:val="0"/>
          <w:sz w:val="32"/>
          <w:szCs w:val="32"/>
        </w:rPr>
      </w:pPr>
    </w:p>
    <w:p>
      <w:pPr>
        <w:pStyle w:val="2"/>
        <w:tabs>
          <w:tab w:val="left" w:pos="2608"/>
        </w:tabs>
        <w:rPr>
          <w:rStyle w:val="11"/>
          <w:rFonts w:hint="default" w:ascii="黑体" w:eastAsia="黑体"/>
          <w:b w:val="0"/>
          <w:sz w:val="32"/>
          <w:szCs w:val="32"/>
        </w:rPr>
      </w:pPr>
      <w:bookmarkStart w:id="0" w:name="_GoBack"/>
      <w:bookmarkEnd w:id="0"/>
      <w:r>
        <w:rPr>
          <w:rStyle w:val="11"/>
          <w:rFonts w:ascii="黑体" w:eastAsia="黑体"/>
          <w:b w:val="0"/>
          <w:sz w:val="32"/>
          <w:szCs w:val="32"/>
        </w:rPr>
        <w:tab/>
      </w:r>
    </w:p>
    <w:p>
      <w:pPr>
        <w:spacing w:line="520" w:lineRule="exact"/>
        <w:ind w:firstLine="627" w:firstLineChars="196"/>
        <w:rPr>
          <w:rStyle w:val="11"/>
          <w:rFonts w:ascii="黑体" w:eastAsia="黑体"/>
          <w:b w:val="0"/>
          <w:color w:val="000000"/>
          <w:sz w:val="32"/>
          <w:szCs w:val="32"/>
        </w:rPr>
      </w:pPr>
      <w:r>
        <w:rPr>
          <w:rStyle w:val="11"/>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w:t>
      </w:r>
      <w:r>
        <w:rPr>
          <w:rStyle w:val="11"/>
          <w:rFonts w:hint="eastAsia" w:ascii="仿宋_GB2312" w:hAnsi="仿宋_GB2312" w:eastAsia="仿宋_GB2312" w:cs="仿宋_GB2312"/>
          <w:b w:val="0"/>
          <w:bCs w:val="0"/>
          <w:color w:val="000000"/>
          <w:sz w:val="32"/>
          <w:szCs w:val="32"/>
          <w:shd w:val="clear" w:color="auto" w:fill="FFFFFF"/>
        </w:rPr>
        <w:t>立案庭（诉讼服务中心）</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负责登记立案、涉诉信访、导诉接待、材料接转、法律文书送达、档案查询、法律咨询、诉前引导、诉前保全受理及裁决；负责本院民商事案件繁简分流、立案调解；办理适用督促程序、公示催告程序等案件。</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2.刑事审判庭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负责审判由本院管辖的刑事公诉和自诉案件；对案件审理中发现的问题，提出司法建议；做好少年犯的教育、感化、挽救工作；办理其他有关事项。</w:t>
      </w:r>
    </w:p>
    <w:p>
      <w:pPr>
        <w:snapToGrid w:val="0"/>
        <w:spacing w:line="540" w:lineRule="exact"/>
        <w:ind w:firstLine="640" w:firstLineChars="200"/>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3.民事审判一庭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负责审理本院疑难复杂的民商事案件和企业破产等特殊类型案件；对案件审理中发现的问题，提出司法建议；指导人民法庭的民事审判工作；办理其他有关事项。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4.民事审判二庭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负责审理本院繁案以外的简单民商事案件；负责家事审判工作；对案件审理中发现的问题，提出司法建议；办理其他有关事项。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5.民事审判三庭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负责诉前调解、简案速裁、巡回审判工作；负责诉调对接工作，指导基层人民调解委员会的业务工作。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6.行政审判庭（综合审判庭）</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负责审理行政案件；审查并决定非诉行政执行案件；对案件审理中发现的问题，提出司法建议；办理行政赔偿案件及其他有关的赔偿工作事宜；负责审理环境资源相关案件；负责司法救助；办理其他有关事项。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7.执行局</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负责民事、商事案件、仲裁案件、刑事附带民事诉讼案件的执行；负责行政机关申请的非诉行政执行案件、刑事罚没案件的执行；负责执行信访工作；办理司法鉴定、评估、拍卖、财产保全实施等工作。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8.政治部（机关党委）</w:t>
      </w:r>
      <w:r>
        <w:rPr>
          <w:rFonts w:hint="eastAsia"/>
          <w:b w:val="0"/>
          <w:bCs w:val="0"/>
          <w:color w:val="000000"/>
          <w:sz w:val="32"/>
          <w:szCs w:val="32"/>
          <w:shd w:val="clear" w:color="auto" w:fill="FFFFFF"/>
        </w:rPr>
        <w:t>　</w:t>
      </w:r>
      <w:r>
        <w:rPr>
          <w:rFonts w:hint="eastAsia" w:ascii="仿宋_GB2312" w:eastAsia="仿宋_GB2312"/>
          <w:b w:val="0"/>
          <w:bCs w:val="0"/>
          <w:sz w:val="32"/>
          <w:szCs w:val="32"/>
        </w:rPr>
        <w:t>负责本院队伍思想政治教育、内宣及各类培训工作；负责机</w:t>
      </w:r>
      <w:r>
        <w:rPr>
          <w:rFonts w:hint="eastAsia" w:ascii="仿宋_GB2312" w:eastAsia="仿宋_GB2312"/>
          <w:b w:val="0"/>
          <w:bCs w:val="0"/>
          <w:i w:val="0"/>
          <w:iCs w:val="0"/>
          <w:sz w:val="32"/>
          <w:szCs w:val="32"/>
        </w:rPr>
        <w:t>关</w:t>
      </w:r>
      <w:r>
        <w:rPr>
          <w:rFonts w:hint="eastAsia" w:ascii="仿宋_GB2312" w:eastAsia="仿宋_GB2312"/>
          <w:b w:val="0"/>
          <w:bCs w:val="0"/>
          <w:sz w:val="32"/>
          <w:szCs w:val="32"/>
        </w:rPr>
        <w:t>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9.综合办公室 </w:t>
      </w:r>
      <w:r>
        <w:rPr>
          <w:rStyle w:val="11"/>
          <w:rFonts w:hint="eastAsia"/>
          <w:b w:val="0"/>
          <w:bCs w:val="0"/>
          <w:color w:val="000000"/>
          <w:sz w:val="32"/>
          <w:szCs w:val="32"/>
          <w:shd w:val="clear" w:color="auto" w:fill="FFFFFF"/>
        </w:rPr>
        <w:t xml:space="preserve"> </w:t>
      </w:r>
      <w:r>
        <w:rPr>
          <w:rFonts w:hint="eastAsia" w:ascii="仿宋_GB2312" w:eastAsia="仿宋_GB2312"/>
          <w:b w:val="0"/>
          <w:bCs w:val="0"/>
          <w:sz w:val="32"/>
          <w:szCs w:val="32"/>
        </w:rPr>
        <w:t>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r>
        <w:rPr>
          <w:rFonts w:hint="eastAsia" w:ascii="仿宋_GB2312" w:eastAsia="仿宋_GB2312"/>
          <w:b w:val="0"/>
          <w:bCs w:val="0"/>
          <w:sz w:val="32"/>
          <w:szCs w:val="32"/>
          <w:lang w:eastAsia="zh-CN"/>
        </w:rPr>
        <w:t>；负责司法监督工作；</w:t>
      </w:r>
      <w:r>
        <w:rPr>
          <w:rFonts w:hint="eastAsia" w:ascii="仿宋_GB2312" w:eastAsia="仿宋_GB2312"/>
          <w:b w:val="0"/>
          <w:bCs w:val="0"/>
          <w:color w:val="auto"/>
          <w:sz w:val="32"/>
          <w:szCs w:val="32"/>
        </w:rPr>
        <w:t>负责经费预算、管理使用工作；负责本院基本建设工作；负责车辆及固定资产管理使用；负责本院后勤服务保障工作；负责对物业公司的管理和监督。</w:t>
      </w:r>
    </w:p>
    <w:p>
      <w:pPr>
        <w:snapToGrid w:val="0"/>
        <w:spacing w:line="540" w:lineRule="exact"/>
        <w:ind w:firstLine="627" w:firstLineChars="196"/>
        <w:rPr>
          <w:rFonts w:hint="eastAsia" w:ascii="仿宋_GB2312" w:eastAsia="仿宋_GB2312"/>
          <w:b w:val="0"/>
          <w:bCs w:val="0"/>
          <w:sz w:val="32"/>
          <w:szCs w:val="32"/>
          <w:lang w:eastAsia="zh-CN"/>
        </w:rPr>
      </w:pPr>
      <w:r>
        <w:rPr>
          <w:rStyle w:val="11"/>
          <w:rFonts w:hint="eastAsia" w:ascii="仿宋_GB2312" w:hAnsi="仿宋_GB2312" w:eastAsia="仿宋_GB2312" w:cs="仿宋_GB2312"/>
          <w:b w:val="0"/>
          <w:bCs w:val="0"/>
          <w:color w:val="000000"/>
          <w:sz w:val="32"/>
          <w:szCs w:val="32"/>
          <w:shd w:val="clear" w:color="auto" w:fill="FFFFFF"/>
          <w:lang w:val="en-US" w:eastAsia="zh-CN"/>
        </w:rPr>
        <w:t xml:space="preserve">10.审判管理办公室  </w:t>
      </w:r>
      <w:r>
        <w:rPr>
          <w:rFonts w:hint="eastAsia" w:ascii="仿宋_GB2312" w:eastAsia="仿宋_GB2312"/>
          <w:b w:val="0"/>
          <w:bCs w:val="0"/>
          <w:sz w:val="32"/>
          <w:szCs w:val="32"/>
        </w:rPr>
        <w:t>负责对本院案件的审理、执行进行实时监测、分析、统计，组织庭审评查，建立动态监督机制；统一实施审判、执行流程管理；建立、管理法官业绩档案；处理其他审判管理相关工作</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负责本院审判委员会的日常事务工作</w:t>
      </w:r>
      <w:r>
        <w:rPr>
          <w:rFonts w:hint="eastAsia" w:ascii="仿宋_GB2312" w:eastAsia="仿宋_GB2312"/>
          <w:b w:val="0"/>
          <w:bCs w:val="0"/>
          <w:sz w:val="32"/>
          <w:szCs w:val="32"/>
          <w:lang w:eastAsia="zh-CN"/>
        </w:rPr>
        <w:t>，负责本院信息化工作。</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11.司法警察大队 </w:t>
      </w:r>
      <w:r>
        <w:rPr>
          <w:rFonts w:hint="eastAsia"/>
          <w:b w:val="0"/>
          <w:bCs w:val="0"/>
          <w:color w:val="000000"/>
          <w:sz w:val="32"/>
          <w:szCs w:val="32"/>
          <w:shd w:val="clear" w:color="auto" w:fill="FFFFFF"/>
        </w:rPr>
        <w:t>　</w:t>
      </w:r>
      <w:r>
        <w:rPr>
          <w:rFonts w:hint="eastAsia" w:ascii="仿宋_GB2312" w:eastAsia="仿宋_GB2312"/>
          <w:b w:val="0"/>
          <w:bCs w:val="0"/>
          <w:sz w:val="32"/>
          <w:szCs w:val="32"/>
        </w:rPr>
        <w:t>履行司法警察警务职责，负责警卫、值庭、看管、押解犯罪嫌疑人、被告人、送达法律文书，配合审判庭和执行局有关事项，执行强制措施；维护本院机关秩序；组织法警业务技能培训；办理其他工作事项。</w:t>
      </w:r>
    </w:p>
    <w:p>
      <w:pPr>
        <w:snapToGrid w:val="0"/>
        <w:spacing w:line="540" w:lineRule="exact"/>
        <w:ind w:firstLine="627" w:firstLineChars="196"/>
        <w:rPr>
          <w:b w:val="0"/>
          <w:bCs w:val="0"/>
          <w:color w:val="000000"/>
          <w:sz w:val="32"/>
          <w:szCs w:val="32"/>
          <w:shd w:val="clear" w:color="auto" w:fill="FFFFFF"/>
        </w:rPr>
      </w:pPr>
      <w:r>
        <w:rPr>
          <w:rStyle w:val="11"/>
          <w:rFonts w:hint="eastAsia" w:ascii="仿宋_GB2312" w:hAnsi="仿宋_GB2312" w:eastAsia="仿宋_GB2312" w:cs="仿宋_GB2312"/>
          <w:b w:val="0"/>
          <w:bCs w:val="0"/>
          <w:color w:val="000000"/>
          <w:sz w:val="32"/>
          <w:szCs w:val="32"/>
          <w:shd w:val="clear" w:color="auto" w:fill="FFFFFF"/>
          <w:lang w:val="en-US" w:eastAsia="zh-CN"/>
        </w:rPr>
        <w:t>12.南城人民法庭 </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napToGrid w:val="0"/>
        <w:spacing w:line="540" w:lineRule="exact"/>
        <w:ind w:firstLine="627" w:firstLineChars="196"/>
        <w:rPr>
          <w:rFonts w:hint="eastAsia" w:ascii="仿宋_GB2312" w:eastAsia="仿宋_GB2312"/>
          <w:b w:val="0"/>
          <w:bCs w:val="0"/>
          <w:sz w:val="32"/>
          <w:szCs w:val="32"/>
        </w:rPr>
      </w:pPr>
      <w:r>
        <w:rPr>
          <w:rStyle w:val="11"/>
          <w:rFonts w:hint="eastAsia" w:ascii="仿宋_GB2312" w:hAnsi="仿宋_GB2312" w:eastAsia="仿宋_GB2312" w:cs="仿宋_GB2312"/>
          <w:b w:val="0"/>
          <w:bCs w:val="0"/>
          <w:color w:val="000000"/>
          <w:sz w:val="32"/>
          <w:szCs w:val="32"/>
          <w:shd w:val="clear" w:color="auto" w:fill="FFFFFF"/>
          <w:lang w:val="en-US" w:eastAsia="zh-CN"/>
        </w:rPr>
        <w:t>13.碧湖人民法庭</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napToGrid w:val="0"/>
        <w:spacing w:line="540" w:lineRule="exact"/>
        <w:ind w:firstLine="627" w:firstLineChars="196"/>
      </w:pPr>
      <w:r>
        <w:rPr>
          <w:rStyle w:val="11"/>
          <w:rFonts w:hint="eastAsia" w:ascii="仿宋_GB2312" w:hAnsi="仿宋_GB2312" w:eastAsia="仿宋_GB2312" w:cs="仿宋_GB2312"/>
          <w:b w:val="0"/>
          <w:bCs w:val="0"/>
          <w:color w:val="000000"/>
          <w:sz w:val="32"/>
          <w:szCs w:val="32"/>
          <w:shd w:val="clear" w:color="auto" w:fill="FFFFFF"/>
          <w:lang w:val="en-US" w:eastAsia="zh-CN"/>
        </w:rPr>
        <w:t>14.联城人民法庭</w:t>
      </w:r>
      <w:r>
        <w:rPr>
          <w:rFonts w:hint="eastAsia"/>
          <w:b w:val="0"/>
          <w:bCs w:val="0"/>
          <w:color w:val="000000"/>
          <w:sz w:val="32"/>
          <w:szCs w:val="32"/>
          <w:shd w:val="clear" w:color="auto" w:fill="FFFFFF"/>
        </w:rPr>
        <w:t>　</w:t>
      </w:r>
      <w:r>
        <w:rPr>
          <w:rFonts w:hint="eastAsia" w:ascii="仿宋_GB2312" w:eastAsia="仿宋_GB2312"/>
          <w:b w:val="0"/>
          <w:bCs w:val="0"/>
          <w:sz w:val="32"/>
          <w:szCs w:val="32"/>
        </w:rPr>
        <w:t>依法办理本辖区范围的民事、经济纠纷案件、刑事自诉案件等各类案件。办理其他有关工作事项。</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ind w:firstLine="640" w:firstLineChars="20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从预算单位构成看，丽水市</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w:t>
      </w:r>
      <w:r>
        <w:rPr>
          <w:rFonts w:hint="eastAsia" w:ascii="仿宋_GB2312" w:eastAsia="仿宋_GB2312" w:cs="Times New Roman"/>
          <w:bCs/>
          <w:kern w:val="2"/>
          <w:sz w:val="32"/>
          <w:szCs w:val="32"/>
          <w:lang w:val="en-US" w:eastAsia="zh-CN" w:bidi="ar-SA"/>
        </w:rPr>
        <w:t>单位预算包括：丽水市</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w:t>
      </w:r>
      <w:r>
        <w:rPr>
          <w:rFonts w:hint="eastAsia" w:ascii="仿宋_GB2312" w:eastAsia="仿宋_GB2312" w:cs="Times New Roman"/>
          <w:bCs/>
          <w:kern w:val="2"/>
          <w:sz w:val="32"/>
          <w:szCs w:val="32"/>
          <w:lang w:val="en-US" w:eastAsia="zh-CN" w:bidi="ar-SA"/>
        </w:rPr>
        <w:t>本级预算。</w:t>
      </w:r>
    </w:p>
    <w:p>
      <w:pPr>
        <w:spacing w:line="520" w:lineRule="exact"/>
        <w:rPr>
          <w:rFonts w:ascii="楷体_GB2312" w:hAnsi="楷体_GB2312" w:eastAsia="楷体_GB2312" w:cs="楷体_GB2312"/>
          <w:color w:val="000000"/>
          <w:sz w:val="32"/>
          <w:szCs w:val="32"/>
        </w:rPr>
      </w:pPr>
      <w:r>
        <w:rPr>
          <w:rStyle w:val="11"/>
          <w:rFonts w:hint="eastAsia" w:ascii="黑体" w:eastAsia="黑体"/>
          <w:b w:val="0"/>
          <w:color w:val="000000"/>
          <w:sz w:val="32"/>
          <w:szCs w:val="32"/>
        </w:rPr>
        <w:t>二、</w:t>
      </w:r>
      <w:r>
        <w:rPr>
          <w:rStyle w:val="11"/>
          <w:rFonts w:hint="eastAsia" w:ascii="黑体" w:eastAsia="黑体"/>
          <w:b w:val="0"/>
          <w:color w:val="000000"/>
          <w:sz w:val="32"/>
          <w:szCs w:val="32"/>
          <w:lang w:eastAsia="zh-CN"/>
        </w:rPr>
        <w:t>2025年</w:t>
      </w:r>
      <w:r>
        <w:rPr>
          <w:rStyle w:val="11"/>
          <w:rFonts w:hint="eastAsia" w:ascii="黑体" w:eastAsia="黑体"/>
          <w:b w:val="0"/>
          <w:color w:val="000000"/>
          <w:sz w:val="32"/>
          <w:szCs w:val="32"/>
        </w:rPr>
        <w:t>丽水市莲都区人民法院单位预算安排情况说明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（一）关于丽水市莲都区人民法院</w:t>
      </w:r>
      <w:r>
        <w:rPr>
          <w:rStyle w:val="11"/>
          <w:rFonts w:hint="eastAsia" w:ascii="楷体_GB2312" w:hAnsi="楷体_GB2312" w:eastAsia="楷体_GB2312" w:cs="楷体_GB2312"/>
          <w:b w:val="0"/>
          <w:bCs w:val="0"/>
          <w:color w:val="000000"/>
          <w:sz w:val="32"/>
          <w:szCs w:val="32"/>
          <w:lang w:eastAsia="zh-CN"/>
        </w:rPr>
        <w:t>2025年</w:t>
      </w:r>
      <w:r>
        <w:rPr>
          <w:rStyle w:val="11"/>
          <w:rFonts w:hint="eastAsia" w:ascii="楷体_GB2312" w:hAnsi="楷体_GB2312" w:eastAsia="楷体_GB2312" w:cs="楷体_GB2312"/>
          <w:b w:val="0"/>
          <w:bCs w:val="0"/>
          <w:color w:val="000000"/>
          <w:sz w:val="32"/>
          <w:szCs w:val="32"/>
        </w:rPr>
        <w:t>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综合预算的原则，丽水市莲都区人民法院</w:t>
      </w:r>
      <w:r>
        <w:rPr>
          <w:rFonts w:hint="eastAsia" w:ascii="仿宋_GB2312" w:eastAsia="仿宋_GB2312"/>
          <w:color w:val="000000"/>
          <w:sz w:val="32"/>
          <w:szCs w:val="32"/>
        </w:rPr>
        <w:t>所有收入和支出均纳入部门预算管理。收入包括：一般公共预算拨款收入、上年结转结余；支出包括：一般公共服务支出、公共安全支出、社会保障和就业支出、卫生健康支出、住房保障支出。丽水市莲都区人民法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收支总预算7360.46万元。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pPr>
        <w:spacing w:line="520" w:lineRule="exact"/>
        <w:ind w:firstLine="642"/>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丽水市莲都区人民法院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收入预算7360.46万元，比上年执行数减少</w:t>
      </w:r>
      <w:r>
        <w:rPr>
          <w:rFonts w:hint="eastAsia" w:ascii="仿宋_GB2312" w:hAnsi="仿宋_GB2312" w:eastAsia="仿宋_GB2312" w:cs="仿宋_GB2312"/>
          <w:color w:val="000000"/>
          <w:sz w:val="32"/>
          <w:szCs w:val="32"/>
          <w:highlight w:val="none"/>
          <w:lang w:val="en-US" w:eastAsia="zh-CN"/>
        </w:rPr>
        <w:t>284.44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3.72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年初预算人员经费中奖金部分按预拨，实际还有部分缺口。另公用经费较上年度有减少，一方面是编外人员公用经费取消，另一方面工会经费上解区总工会部分不再拨入单位，直接由区级下指标给区总工会，故资金略有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7360.46</w:t>
      </w:r>
      <w:r>
        <w:rPr>
          <w:rFonts w:hint="eastAsia" w:ascii="仿宋_GB2312" w:eastAsia="仿宋_GB2312"/>
          <w:color w:val="000000"/>
          <w:sz w:val="32"/>
          <w:szCs w:val="32"/>
        </w:rPr>
        <w:t>万元（上年结转610.58万元），占100.0%。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丽水市莲都区人民法院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支出预算7360.46万元，比上年执行数减少</w:t>
      </w:r>
      <w:r>
        <w:rPr>
          <w:rFonts w:hint="eastAsia" w:ascii="仿宋_GB2312" w:hAnsi="仿宋_GB2312" w:eastAsia="仿宋_GB2312" w:cs="仿宋_GB2312"/>
          <w:color w:val="000000"/>
          <w:sz w:val="32"/>
          <w:szCs w:val="32"/>
          <w:highlight w:val="none"/>
          <w:lang w:val="en-US" w:eastAsia="zh-CN"/>
        </w:rPr>
        <w:t>284.44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3.72</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年初预算人员经费中奖金部分按预拨，实际还有部分缺口。另公用经费较上年度有减少，一方面是编外人员公用经费取消，另一方面工会经费上解区总工会部分不再拨入单位，直接由区级下指标给区总工会，故资金略有减少</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000000"/>
          <w:sz w:val="32"/>
          <w:szCs w:val="32"/>
        </w:rPr>
      </w:pPr>
      <w:r>
        <w:rPr>
          <w:rFonts w:hint="eastAsia" w:ascii="仿宋_GB2312" w:eastAsia="仿宋_GB2312"/>
          <w:color w:val="000000"/>
          <w:sz w:val="32"/>
          <w:szCs w:val="32"/>
        </w:rPr>
        <w:t>1.按支出功能分类，包括一般公共服务支出0.03万元、公共安全支出5992.59万元、社会保障和就业支出616.49万元、卫生健康支出373.36万元、住房保障支出377.99万元、。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2.按支出用途分类，包括人员支出4935.00万元，占67.0%；日常公用支出679.87万元，占9.2%；项目支出1745.59万元，占23.7%。</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丽水市莲都区人民法院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7360.46万元。收入包括：一般公共预算7360.46万元；支出包括：一般公共服务支出0.03万元、公共安全支出5992.59万元、社会保障和就业支出616.49万元、卫生健康支出373.36万元、住房保障支出377.99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丽水市莲都区人民法院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7360.46</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196.94</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2.61</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年初预算人员经费中奖金部分按预拨，实际还有部分缺口。另公用经费较上年度有减少，一方面是编外人员公用经费取消，另一方面工会经费上解区总工会部分不再拨入单位，直接由区级下指标给区总工会，故资金略有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一般公共服务支出0.03万元，占0.0%；公共安全支出5992.59万元，占81.4%；社会保障和就业支出616.49万元，占8.4%；卫生健康支出373.36万元，占5.1%；住房保障支出377.99万元，占5.1%。</w:t>
      </w:r>
    </w:p>
    <w:p>
      <w:pPr>
        <w:numPr>
          <w:ilvl w:val="0"/>
          <w:numId w:val="2"/>
        </w:numPr>
        <w:spacing w:line="520" w:lineRule="exact"/>
        <w:ind w:firstLine="64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一般公共预算拨款具体使用情况。</w:t>
      </w:r>
    </w:p>
    <w:p>
      <w:pPr>
        <w:pStyle w:val="2"/>
        <w:numPr>
          <w:ilvl w:val="0"/>
          <w:numId w:val="0"/>
        </w:numPr>
        <w:ind w:firstLine="640" w:firstLineChars="200"/>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）一般公共服务支出（类）其他共产党事务支出（款）　　其他共产党事务支出（项）</w:t>
      </w:r>
      <w:r>
        <w:rPr>
          <w:rFonts w:hint="eastAsia" w:cs="仿宋_GB2312"/>
          <w:color w:val="000000"/>
          <w:sz w:val="32"/>
          <w:szCs w:val="32"/>
          <w:highlight w:val="none"/>
          <w:lang w:val="en-US" w:eastAsia="zh-CN"/>
        </w:rPr>
        <w:t>0.03万元</w:t>
      </w:r>
      <w:r>
        <w:rPr>
          <w:rFonts w:hint="eastAsia" w:cs="仿宋_GB2312"/>
          <w:color w:val="000000"/>
          <w:sz w:val="32"/>
          <w:szCs w:val="32"/>
          <w:highlight w:val="none"/>
          <w:lang w:eastAsia="zh-CN"/>
        </w:rPr>
        <w:t>，主要用于司法救助资金支出。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）公共安全支出（类）法院（款）行政运行（项）</w:t>
      </w:r>
      <w:r>
        <w:rPr>
          <w:rFonts w:hint="eastAsia" w:ascii="仿宋_GB2312" w:hAnsi="仿宋_GB2312" w:eastAsia="仿宋_GB2312" w:cs="仿宋_GB2312"/>
          <w:color w:val="000000"/>
          <w:sz w:val="32"/>
          <w:szCs w:val="32"/>
          <w:highlight w:val="none"/>
          <w:lang w:val="en-US" w:eastAsia="zh-CN"/>
        </w:rPr>
        <w:t>4247.04</w:t>
      </w:r>
      <w:r>
        <w:rPr>
          <w:rFonts w:hint="eastAsia" w:ascii="仿宋_GB2312" w:hAnsi="仿宋_GB2312" w:eastAsia="仿宋_GB2312" w:cs="仿宋_GB2312"/>
          <w:color w:val="000000"/>
          <w:sz w:val="32"/>
          <w:szCs w:val="32"/>
          <w:highlight w:val="none"/>
          <w:lang w:eastAsia="zh-CN"/>
        </w:rPr>
        <w:t>万元，主要用于本级法院保障机构正常运行，完成日常工作任务所发生的人员支出及日常运行公用经费等基本支出。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）公共安全支出（类）法院（款）机关服务（项）</w:t>
      </w:r>
      <w:r>
        <w:rPr>
          <w:rFonts w:hint="eastAsia" w:ascii="仿宋_GB2312" w:hAnsi="仿宋_GB2312" w:eastAsia="仿宋_GB2312" w:cs="仿宋_GB2312"/>
          <w:color w:val="000000"/>
          <w:sz w:val="32"/>
          <w:szCs w:val="32"/>
          <w:highlight w:val="none"/>
          <w:lang w:val="en-US" w:eastAsia="zh-CN"/>
        </w:rPr>
        <w:t>200</w:t>
      </w:r>
      <w:r>
        <w:rPr>
          <w:rFonts w:hint="eastAsia" w:ascii="仿宋_GB2312" w:hAnsi="仿宋_GB2312" w:eastAsia="仿宋_GB2312" w:cs="仿宋_GB2312"/>
          <w:color w:val="000000"/>
          <w:sz w:val="32"/>
          <w:szCs w:val="32"/>
          <w:highlight w:val="none"/>
          <w:lang w:eastAsia="zh-CN"/>
        </w:rPr>
        <w:t>万元，主要用于本院物业管理费用的支出。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）公共安全支出（类）法院（款）案件执行（项）</w:t>
      </w:r>
      <w:r>
        <w:rPr>
          <w:rFonts w:hint="eastAsia" w:ascii="仿宋_GB2312" w:hAnsi="仿宋_GB2312" w:eastAsia="仿宋_GB2312" w:cs="仿宋_GB2312"/>
          <w:color w:val="000000"/>
          <w:sz w:val="32"/>
          <w:szCs w:val="32"/>
          <w:highlight w:val="none"/>
          <w:lang w:val="en-US" w:eastAsia="zh-CN"/>
        </w:rPr>
        <w:t>172</w:t>
      </w:r>
      <w:r>
        <w:rPr>
          <w:rFonts w:hint="eastAsia" w:ascii="仿宋_GB2312" w:hAnsi="仿宋_GB2312" w:eastAsia="仿宋_GB2312" w:cs="仿宋_GB2312"/>
          <w:color w:val="000000"/>
          <w:sz w:val="32"/>
          <w:szCs w:val="32"/>
          <w:highlight w:val="none"/>
          <w:lang w:eastAsia="zh-CN"/>
        </w:rPr>
        <w:t>万元，主要用于市区执行一体化（公证派驻执行）项目和举报被执行人奖励资金支出。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）公共安全支出（类）法院（款）其他法院支出（项）</w:t>
      </w:r>
      <w:r>
        <w:rPr>
          <w:rFonts w:hint="eastAsia" w:ascii="仿宋_GB2312" w:hAnsi="仿宋_GB2312" w:eastAsia="仿宋_GB2312" w:cs="仿宋_GB2312"/>
          <w:color w:val="000000"/>
          <w:sz w:val="32"/>
          <w:szCs w:val="32"/>
          <w:highlight w:val="none"/>
          <w:lang w:val="en-US" w:eastAsia="zh-CN"/>
        </w:rPr>
        <w:t>1373.55</w:t>
      </w:r>
      <w:r>
        <w:rPr>
          <w:rFonts w:hint="eastAsia" w:ascii="仿宋_GB2312" w:hAnsi="仿宋_GB2312" w:eastAsia="仿宋_GB2312" w:cs="仿宋_GB2312"/>
          <w:color w:val="000000"/>
          <w:sz w:val="32"/>
          <w:szCs w:val="32"/>
          <w:highlight w:val="none"/>
          <w:lang w:eastAsia="zh-CN"/>
        </w:rPr>
        <w:t>万元，主要用于办案水电费、通信费、劳务费、差旅费和信息化建设、被装购置等项目支出。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325.23</w:t>
      </w:r>
      <w:r>
        <w:rPr>
          <w:rFonts w:hint="eastAsia" w:ascii="仿宋_GB2312" w:hAnsi="仿宋_GB2312" w:eastAsia="仿宋_GB2312" w:cs="仿宋_GB2312"/>
          <w:color w:val="000000"/>
          <w:sz w:val="32"/>
          <w:szCs w:val="32"/>
          <w:highlight w:val="none"/>
          <w:lang w:eastAsia="zh-CN"/>
        </w:rPr>
        <w:t>万元,主要用于本院人员单位缴纳的基本养老保险费支出。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162.62</w:t>
      </w:r>
      <w:r>
        <w:rPr>
          <w:rFonts w:hint="eastAsia" w:ascii="仿宋_GB2312" w:hAnsi="仿宋_GB2312" w:eastAsia="仿宋_GB2312" w:cs="仿宋_GB2312"/>
          <w:color w:val="000000"/>
          <w:sz w:val="32"/>
          <w:szCs w:val="32"/>
          <w:highlight w:val="none"/>
          <w:lang w:eastAsia="zh-CN"/>
        </w:rPr>
        <w:t>万元,主要用于本院人员单位实际缴纳职业年金支出。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128.64</w:t>
      </w:r>
      <w:r>
        <w:rPr>
          <w:rFonts w:hint="eastAsia" w:ascii="仿宋_GB2312" w:hAnsi="仿宋_GB2312" w:eastAsia="仿宋_GB2312" w:cs="仿宋_GB2312"/>
          <w:color w:val="000000"/>
          <w:sz w:val="32"/>
          <w:szCs w:val="32"/>
          <w:highlight w:val="none"/>
          <w:lang w:eastAsia="zh-CN"/>
        </w:rPr>
        <w:t>万元，主要用于本院退休人员综合生活补助及活动费支出。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yellow"/>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9</w:t>
      </w:r>
      <w:r>
        <w:rPr>
          <w:rFonts w:hint="eastAsia" w:ascii="仿宋_GB2312" w:hAnsi="仿宋_GB2312" w:eastAsia="仿宋_GB2312" w:cs="仿宋_GB2312"/>
          <w:color w:val="000000"/>
          <w:sz w:val="32"/>
          <w:szCs w:val="32"/>
          <w:highlight w:val="none"/>
          <w:lang w:eastAsia="zh-CN"/>
        </w:rPr>
        <w:t>）卫生健康支出（类）行政事业单位医疗（款）行政单位医疗（项）</w:t>
      </w:r>
      <w:r>
        <w:rPr>
          <w:rFonts w:hint="eastAsia" w:ascii="仿宋_GB2312" w:hAnsi="仿宋_GB2312" w:eastAsia="仿宋_GB2312" w:cs="仿宋_GB2312"/>
          <w:color w:val="000000"/>
          <w:sz w:val="32"/>
          <w:szCs w:val="32"/>
          <w:highlight w:val="none"/>
          <w:lang w:val="en-US" w:eastAsia="zh-CN"/>
        </w:rPr>
        <w:t>373.36</w:t>
      </w:r>
      <w:r>
        <w:rPr>
          <w:rFonts w:hint="eastAsia" w:ascii="仿宋_GB2312" w:hAnsi="仿宋_GB2312" w:eastAsia="仿宋_GB2312" w:cs="仿宋_GB2312"/>
          <w:color w:val="000000"/>
          <w:sz w:val="32"/>
          <w:szCs w:val="32"/>
          <w:highlight w:val="none"/>
          <w:lang w:eastAsia="zh-CN"/>
        </w:rPr>
        <w:t>万元。主要用于本院在职及退休人员的医疗保险费支出。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10</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377.99</w:t>
      </w:r>
      <w:r>
        <w:rPr>
          <w:rFonts w:hint="eastAsia" w:ascii="仿宋_GB2312" w:hAnsi="仿宋_GB2312" w:eastAsia="仿宋_GB2312" w:cs="仿宋_GB2312"/>
          <w:color w:val="000000"/>
          <w:sz w:val="32"/>
          <w:szCs w:val="32"/>
          <w:highlight w:val="none"/>
          <w:lang w:eastAsia="zh-CN"/>
        </w:rPr>
        <w:t>万元。主要用于本院职工缴纳的住房公积金支出。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丽水市莲都区人民法院</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一般公共预算基本支出5614.87万元，其中：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4935.00万元，主要包括：基本工资、津贴补贴、奖金、绩效工资、机关事业单位基本养老保险缴费、职业年金缴费、职工基本医疗保险缴费、公务员医疗补助缴费、其他社会保障缴费、住房公积金、医疗费、其他工资福利支出</w:t>
      </w:r>
      <w:r>
        <w:rPr>
          <w:rFonts w:hint="eastAsia" w:ascii="仿宋_GB2312" w:eastAsia="仿宋_GB2312"/>
          <w:color w:val="000000"/>
          <w:sz w:val="32"/>
          <w:szCs w:val="32"/>
          <w:lang w:val="en-US" w:eastAsia="zh-CN"/>
        </w:rPr>
        <w:t>等</w:t>
      </w:r>
      <w:r>
        <w:rPr>
          <w:rFonts w:hint="eastAsia" w:ascii="仿宋_GB2312" w:eastAsia="仿宋_GB2312"/>
          <w:color w:val="000000"/>
          <w:sz w:val="32"/>
          <w:szCs w:val="32"/>
        </w:rPr>
        <w:t>；</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679.87万元，主要包括：办公费、印刷费、水费、电费、邮电费、差旅费、维修（护）费、培训费、公务接待费、劳务费、委托业务费、工会经费、福利费、公务用车运行维护费、其他交通费用、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（七）关于丽水市莲都区人民法院</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丽水市莲都区人民法院</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丽水市莲都区人民法院</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pPr>
        <w:ind w:firstLine="640" w:firstLineChars="200"/>
        <w:rPr>
          <w:rFonts w:hint="eastAsia" w:eastAsia="仿宋_GB2312"/>
          <w:highlight w:val="none"/>
          <w:lang w:eastAsia="zh-CN"/>
        </w:rPr>
      </w:pPr>
      <w:r>
        <w:rPr>
          <w:rFonts w:hint="eastAsia" w:ascii="仿宋_GB2312" w:hAnsi="仿宋_GB2312" w:eastAsia="仿宋_GB2312" w:cs="仿宋_GB2312"/>
          <w:color w:val="000000"/>
          <w:sz w:val="32"/>
          <w:szCs w:val="32"/>
          <w:highlight w:val="none"/>
        </w:rPr>
        <w:t>丽水市莲都区人民法院</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r>
        <w:rPr>
          <w:rFonts w:hint="eastAsia" w:ascii="仿宋_GB2312" w:hAnsi="仿宋_GB2312" w:eastAsia="仿宋_GB2312" w:cs="仿宋_GB2312"/>
          <w:color w:val="000000"/>
          <w:sz w:val="32"/>
          <w:szCs w:val="32"/>
          <w:highlight w:val="none"/>
          <w:lang w:eastAsia="zh-CN"/>
        </w:rPr>
        <w:t>。</w:t>
      </w:r>
    </w:p>
    <w:p>
      <w:pPr>
        <w:spacing w:line="520" w:lineRule="exact"/>
        <w:ind w:firstLine="627" w:firstLineChars="196"/>
        <w:rPr>
          <w:rFonts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（九）关于丽水市莲都区人民法院</w:t>
      </w:r>
      <w:r>
        <w:rPr>
          <w:rFonts w:hint="eastAsia" w:ascii="楷体_GB2312" w:hAnsi="楷体_GB2312" w:eastAsia="楷体_GB2312" w:cs="楷体_GB2312"/>
          <w:bCs/>
          <w:color w:val="auto"/>
          <w:sz w:val="32"/>
          <w:szCs w:val="32"/>
          <w:lang w:eastAsia="zh-CN"/>
        </w:rPr>
        <w:t>2025年</w:t>
      </w:r>
      <w:r>
        <w:rPr>
          <w:rFonts w:hint="eastAsia" w:ascii="楷体_GB2312" w:hAnsi="楷体_GB2312" w:eastAsia="楷体_GB2312" w:cs="楷体_GB2312"/>
          <w:bCs/>
          <w:color w:val="auto"/>
          <w:sz w:val="32"/>
          <w:szCs w:val="32"/>
        </w:rPr>
        <w:t>一般公共预算“三公”经费预算情况说明</w:t>
      </w:r>
    </w:p>
    <w:p>
      <w:pPr>
        <w:spacing w:line="520" w:lineRule="exact"/>
        <w:ind w:firstLine="640" w:firstLineChars="200"/>
        <w:rPr>
          <w:rFonts w:ascii="仿宋_GB2312" w:hAnsi="仿宋_GB2312" w:eastAsia="仿宋_GB2312"/>
          <w:color w:val="auto"/>
          <w:sz w:val="32"/>
        </w:rPr>
      </w:pPr>
      <w:r>
        <w:rPr>
          <w:rFonts w:hint="eastAsia" w:ascii="仿宋_GB2312" w:hAnsi="仿宋_GB2312" w:eastAsia="仿宋_GB2312"/>
          <w:color w:val="auto"/>
          <w:sz w:val="32"/>
        </w:rPr>
        <w:t>丽水市莲都区人民法院</w:t>
      </w:r>
      <w:r>
        <w:rPr>
          <w:rFonts w:hint="eastAsia" w:ascii="仿宋_GB2312" w:hAnsi="仿宋_GB2312" w:eastAsia="仿宋_GB2312"/>
          <w:color w:val="auto"/>
          <w:sz w:val="32"/>
          <w:lang w:eastAsia="zh-CN"/>
        </w:rPr>
        <w:t>2025年</w:t>
      </w:r>
      <w:r>
        <w:rPr>
          <w:rFonts w:hint="eastAsia" w:ascii="仿宋_GB2312" w:hAnsi="仿宋_GB2312" w:eastAsia="仿宋_GB2312"/>
          <w:color w:val="auto"/>
          <w:sz w:val="32"/>
        </w:rPr>
        <w:t>“三公”经费预算数为49.00万元，</w:t>
      </w:r>
      <w:r>
        <w:rPr>
          <w:rFonts w:hint="eastAsia" w:ascii="仿宋_GB2312" w:hAnsi="仿宋_GB2312" w:eastAsia="仿宋_GB2312"/>
          <w:color w:val="auto"/>
          <w:sz w:val="32"/>
          <w:shd w:val="clear" w:color="auto" w:fill="FFFFFF"/>
          <w:lang w:eastAsia="zh-CN"/>
        </w:rPr>
        <w:t>与上年预算数一致。</w:t>
      </w:r>
      <w:r>
        <w:rPr>
          <w:rFonts w:hint="eastAsia" w:ascii="仿宋_GB2312" w:hAnsi="仿宋_GB2312" w:eastAsia="仿宋_GB2312"/>
          <w:color w:val="auto"/>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hAnsi="仿宋_GB2312" w:eastAsia="仿宋_GB2312" w:cs="仿宋_GB2312"/>
          <w:sz w:val="32"/>
          <w:szCs w:val="32"/>
        </w:rPr>
        <w:t>。主要用于机关及下属预算单位人员的公务出国（境）的国际旅费、国外城市间交通费、住宿费、伙食费、培训费、公杂费等支出。</w:t>
      </w:r>
      <w:r>
        <w:rPr>
          <w:rFonts w:hint="eastAsia" w:ascii="仿宋_GB2312" w:hAnsi="仿宋_GB2312" w:eastAsia="仿宋_GB2312"/>
          <w:sz w:val="32"/>
          <w:shd w:val="clear" w:color="auto" w:fill="FFFFFF"/>
          <w:lang w:eastAsia="zh-CN"/>
        </w:rPr>
        <w:t>持平的主要原因是近两年均没有人员因公出国（境）安排。</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安排公务接待费预算7.00万元，</w:t>
      </w:r>
      <w:r>
        <w:rPr>
          <w:rFonts w:hint="eastAsia" w:ascii="仿宋_GB2312" w:hAnsi="仿宋_GB2312" w:eastAsia="仿宋_GB2312"/>
          <w:color w:val="auto"/>
          <w:sz w:val="32"/>
          <w:shd w:val="clear" w:color="auto" w:fill="FFFFFF"/>
          <w:lang w:eastAsia="zh-CN"/>
        </w:rPr>
        <w:t>与上年预算数一致</w:t>
      </w:r>
      <w:r>
        <w:rPr>
          <w:rFonts w:hint="eastAsia" w:ascii="仿宋_GB2312" w:hAnsi="仿宋_GB2312" w:eastAsia="仿宋_GB2312" w:cs="仿宋_GB2312"/>
          <w:sz w:val="32"/>
          <w:szCs w:val="32"/>
        </w:rPr>
        <w:t>。</w:t>
      </w:r>
    </w:p>
    <w:p>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highlight w:val="none"/>
        </w:rPr>
        <w:t>3.公务用车购置及运行维护费：</w:t>
      </w:r>
      <w:r>
        <w:rPr>
          <w:rFonts w:hint="eastAsia" w:ascii="仿宋_GB2312" w:eastAsia="仿宋_GB2312"/>
          <w:sz w:val="32"/>
          <w:szCs w:val="32"/>
          <w:highlight w:val="none"/>
          <w:lang w:eastAsia="zh-CN"/>
        </w:rPr>
        <w:t>2025年</w:t>
      </w:r>
      <w:r>
        <w:rPr>
          <w:rFonts w:hint="eastAsia" w:ascii="仿宋_GB2312" w:eastAsia="仿宋_GB2312"/>
          <w:sz w:val="32"/>
          <w:szCs w:val="32"/>
          <w:highlight w:val="none"/>
        </w:rPr>
        <w:t>安排公务用车购置及运行维护费预算42.00万元，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hAnsi="仿宋_GB2312" w:eastAsia="仿宋_GB2312"/>
          <w:sz w:val="32"/>
          <w:highlight w:val="none"/>
          <w:shd w:val="clear" w:color="auto" w:fill="FFFFFF"/>
          <w:lang w:eastAsia="zh-CN"/>
        </w:rPr>
        <w:t>一致</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相一致</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无公车购置安排</w:t>
      </w:r>
      <w:r>
        <w:rPr>
          <w:rFonts w:hint="eastAsia" w:ascii="仿宋_GB2312" w:eastAsia="仿宋_GB2312"/>
          <w:sz w:val="32"/>
          <w:szCs w:val="32"/>
          <w:highlight w:val="none"/>
        </w:rPr>
        <w:t>；公务用车运行维护费支出42.00万元，主要用于公务用车燃料费、维修费、过桥过路费、保险费等支出。</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相一致</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公车数量一致</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1.机关运行经费。</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丽水市莲都区人民法院</w:t>
      </w:r>
      <w:r>
        <w:rPr>
          <w:rFonts w:hint="eastAsia" w:ascii="仿宋_GB2312" w:eastAsia="仿宋_GB2312"/>
          <w:color w:val="000000"/>
          <w:sz w:val="32"/>
          <w:szCs w:val="32"/>
        </w:rPr>
        <w:t>本级的机关运行经费财政拨款预算679.87万元，比上年预算减少</w:t>
      </w:r>
      <w:r>
        <w:rPr>
          <w:rFonts w:hint="eastAsia" w:ascii="仿宋_GB2312" w:eastAsia="仿宋_GB2312"/>
          <w:color w:val="000000"/>
          <w:sz w:val="32"/>
          <w:szCs w:val="32"/>
          <w:lang w:val="en-US" w:eastAsia="zh-CN"/>
        </w:rPr>
        <w:t>57.72万元</w:t>
      </w:r>
      <w:r>
        <w:rPr>
          <w:rFonts w:hint="eastAsia" w:ascii="仿宋_GB2312" w:hAnsi="仿宋_GB2312" w:eastAsia="仿宋_GB2312"/>
          <w:kern w:val="2"/>
          <w:sz w:val="32"/>
          <w:szCs w:val="20"/>
        </w:rPr>
        <w:t>，下降</w:t>
      </w:r>
      <w:r>
        <w:rPr>
          <w:rFonts w:hint="eastAsia" w:ascii="仿宋_GB2312" w:hAnsi="仿宋_GB2312" w:eastAsia="仿宋_GB2312"/>
          <w:kern w:val="2"/>
          <w:sz w:val="32"/>
          <w:szCs w:val="20"/>
          <w:lang w:val="en-US" w:eastAsia="zh-CN"/>
        </w:rPr>
        <w:t>7.83</w:t>
      </w:r>
      <w:r>
        <w:rPr>
          <w:rFonts w:hint="eastAsia" w:ascii="仿宋_GB2312" w:hAnsi="仿宋_GB2312" w:eastAsia="仿宋_GB2312"/>
          <w:kern w:val="2"/>
          <w:sz w:val="32"/>
          <w:szCs w:val="20"/>
        </w:rPr>
        <w:t>%，主要是</w:t>
      </w:r>
      <w:r>
        <w:rPr>
          <w:rFonts w:hint="eastAsia" w:ascii="仿宋_GB2312" w:hAnsi="仿宋_GB2312" w:eastAsia="仿宋_GB2312"/>
          <w:kern w:val="2"/>
          <w:sz w:val="32"/>
          <w:szCs w:val="20"/>
          <w:lang w:eastAsia="zh-CN"/>
        </w:rPr>
        <w:t>本年度编外人员公用经费不再安排</w:t>
      </w:r>
      <w:r>
        <w:rPr>
          <w:rFonts w:hint="eastAsia" w:ascii="仿宋_GB2312" w:eastAsia="仿宋_GB2312"/>
          <w:color w:val="000000"/>
          <w:sz w:val="32"/>
          <w:szCs w:val="32"/>
        </w:rPr>
        <w:t>。</w:t>
      </w:r>
    </w:p>
    <w:p>
      <w:pPr>
        <w:pStyle w:val="15"/>
        <w:numPr>
          <w:ilvl w:val="0"/>
          <w:numId w:val="3"/>
        </w:numPr>
        <w:spacing w:line="52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丽水市莲都区人民法院</w:t>
      </w:r>
      <w:r>
        <w:rPr>
          <w:rFonts w:hint="eastAsia" w:ascii="仿宋_GB2312" w:eastAsia="仿宋_GB2312"/>
          <w:color w:val="000000"/>
          <w:sz w:val="32"/>
          <w:szCs w:val="32"/>
        </w:rPr>
        <w:t>各单位政府采购预算总额</w:t>
      </w:r>
      <w:r>
        <w:rPr>
          <w:rFonts w:ascii="仿宋_GB2312" w:eastAsia="仿宋_GB2312"/>
          <w:color w:val="000000"/>
          <w:sz w:val="32"/>
          <w:szCs w:val="32"/>
        </w:rPr>
        <w:t>406.79</w:t>
      </w:r>
      <w:r>
        <w:rPr>
          <w:rFonts w:hint="eastAsia" w:ascii="仿宋_GB2312" w:eastAsia="仿宋_GB2312"/>
          <w:color w:val="000000"/>
          <w:sz w:val="32"/>
          <w:szCs w:val="32"/>
        </w:rPr>
        <w:t>万元，其中：政府采购货物预算135.65万元、政府采购工程预算0.00万元、政府采购服务预算</w:t>
      </w:r>
      <w:r>
        <w:rPr>
          <w:rFonts w:ascii="仿宋_GB2312" w:eastAsia="仿宋_GB2312"/>
          <w:color w:val="000000"/>
          <w:sz w:val="32"/>
          <w:szCs w:val="32"/>
        </w:rPr>
        <w:t>271.14</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r>
        <w:rPr>
          <w:rFonts w:hint="eastAsia" w:ascii="仿宋_GB2312" w:hAnsi="仿宋_GB2312" w:eastAsia="仿宋_GB2312" w:cs="仿宋_GB2312"/>
          <w:sz w:val="32"/>
          <w:szCs w:val="32"/>
        </w:rPr>
        <w:t>。</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丽水市莲都区人民法院其他运转类项目和特定目标类项目均实行绩效目标管理，共计3个一级项目，涉及当年资金1745.59万元。同时，将按照相关制度规定开展绩效自评。</w:t>
      </w:r>
      <w:r>
        <w:rPr>
          <w:rFonts w:ascii="仿宋_GB2312" w:hAnsi="仿宋_GB2312" w:eastAsia="仿宋_GB2312" w:cs="仿宋_GB2312"/>
          <w:color w:val="auto"/>
          <w:sz w:val="32"/>
          <w:szCs w:val="32"/>
        </w:rPr>
        <w:t>一级项目绩效目标表，详见“</w:t>
      </w:r>
      <w:r>
        <w:rPr>
          <w:rFonts w:hint="eastAsia" w:ascii="仿宋_GB2312" w:hAnsi="仿宋_GB2312" w:eastAsia="仿宋_GB2312" w:cs="仿宋_GB2312"/>
          <w:color w:val="auto"/>
          <w:sz w:val="32"/>
          <w:szCs w:val="32"/>
        </w:rPr>
        <w:t>单位</w:t>
      </w:r>
      <w:r>
        <w:rPr>
          <w:rFonts w:ascii="仿宋_GB2312" w:hAnsi="仿宋_GB2312" w:eastAsia="仿宋_GB2312" w:cs="仿宋_GB2312"/>
          <w:color w:val="auto"/>
          <w:sz w:val="32"/>
          <w:szCs w:val="32"/>
        </w:rPr>
        <w:t>项目支出绩效表”</w:t>
      </w:r>
      <w:r>
        <w:rPr>
          <w:rFonts w:hint="eastAsia" w:ascii="仿宋_GB2312" w:hAnsi="仿宋_GB2312" w:eastAsia="仿宋_GB2312" w:cs="仿宋_GB2312"/>
          <w:color w:val="auto"/>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一般公共服务支出（类）其他共产党事务支出（款）　　其他共产党事务支出（项）：指司法救助的支出</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12.公共安全支出（类）法院（款）行政运行（项）：指院的基本支出。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13.公共安全支出（类）法院（款）机关服务（项）：指法院用于物业管理费支出。</w:t>
      </w:r>
    </w:p>
    <w:p>
      <w:pPr>
        <w:pStyle w:val="6"/>
        <w:keepNext w:val="0"/>
        <w:keepLines w:val="0"/>
        <w:widowControl/>
        <w:suppressLineNumbers w:val="0"/>
        <w:ind w:left="0" w:firstLine="645"/>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14.公共安全支出（类）法院（款）案件执行（项）：对刑事、民事、行政、涉外等案件执行活动和对各种非诉执行活动的支出。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15.公共安全支出（类）法院（款）其他法院支出（项）：指法院除上述项目以外其他支出。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16.社会保障和就业支出（类）行政事业单位养老支出（款）机关事业单位基本养老保险缴费支出（项）：指单位缴纳的基本养老保险费支出。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17.社会保障和就业支出（类）行政事业单位养老支出（款）机关事业单位职业年金缴费支出（项）：指单位实际缴纳职业年金支出。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18.社会保障和就业支出（类）行政事业单位养老支出（款）其他行政事业单位养老支出（项）：指单位用于离退休方面支出。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19.卫生健康支出（类）行政事业单位医疗（款）行政单位医疗（项）：指单位缴纳医疗保险费支出。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20.住房保障支出（类）住房改革支出（款）住房公积金（项）：指单位为职工缴纳的住房公积金支出。</w:t>
      </w:r>
    </w:p>
    <w:p>
      <w:pPr>
        <w:spacing w:line="520" w:lineRule="exact"/>
      </w:pPr>
    </w:p>
    <w:p>
      <w:pPr>
        <w:spacing w:line="520" w:lineRule="exact"/>
        <w:ind w:firstLine="640" w:firstLineChars="200"/>
        <w:rPr>
          <w:rFonts w:ascii="仿宋_GB2312" w:hAnsi="仿宋_GB2312" w:eastAsia="仿宋_GB2312" w:cs="仿宋_GB2312"/>
          <w:sz w:val="32"/>
          <w:szCs w:val="32"/>
        </w:rPr>
      </w:pP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7D814"/>
    <w:multiLevelType w:val="singleLevel"/>
    <w:tmpl w:val="9777D814"/>
    <w:lvl w:ilvl="0" w:tentative="0">
      <w:start w:val="3"/>
      <w:numFmt w:val="decimal"/>
      <w:lvlText w:val="%1."/>
      <w:lvlJc w:val="left"/>
      <w:pPr>
        <w:tabs>
          <w:tab w:val="left" w:pos="312"/>
        </w:tabs>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60866"/>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3B27DE"/>
    <w:rsid w:val="065E25EC"/>
    <w:rsid w:val="06835E42"/>
    <w:rsid w:val="06F965CB"/>
    <w:rsid w:val="07487AC1"/>
    <w:rsid w:val="07587F90"/>
    <w:rsid w:val="07623DA7"/>
    <w:rsid w:val="081119C7"/>
    <w:rsid w:val="08DE4DFD"/>
    <w:rsid w:val="093E0A66"/>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C5671C"/>
    <w:rsid w:val="12D300E7"/>
    <w:rsid w:val="136B79EF"/>
    <w:rsid w:val="1370543F"/>
    <w:rsid w:val="13811EEE"/>
    <w:rsid w:val="13A97F1D"/>
    <w:rsid w:val="13FF3975"/>
    <w:rsid w:val="14861683"/>
    <w:rsid w:val="14887B46"/>
    <w:rsid w:val="14EF3497"/>
    <w:rsid w:val="151C7CEA"/>
    <w:rsid w:val="153C45B3"/>
    <w:rsid w:val="157947AC"/>
    <w:rsid w:val="15DB09EF"/>
    <w:rsid w:val="164C704E"/>
    <w:rsid w:val="1650535C"/>
    <w:rsid w:val="16B75B8F"/>
    <w:rsid w:val="16FE1938"/>
    <w:rsid w:val="170C3948"/>
    <w:rsid w:val="178056C8"/>
    <w:rsid w:val="17EC7FC1"/>
    <w:rsid w:val="17F81734"/>
    <w:rsid w:val="180061CB"/>
    <w:rsid w:val="18154C5A"/>
    <w:rsid w:val="18EF3804"/>
    <w:rsid w:val="19001E74"/>
    <w:rsid w:val="194465F7"/>
    <w:rsid w:val="195C3A7E"/>
    <w:rsid w:val="19915E66"/>
    <w:rsid w:val="1A2375F0"/>
    <w:rsid w:val="1A8D6DB0"/>
    <w:rsid w:val="1AC0275A"/>
    <w:rsid w:val="1AE500E3"/>
    <w:rsid w:val="1B1D1342"/>
    <w:rsid w:val="1B2A6629"/>
    <w:rsid w:val="1BBC2184"/>
    <w:rsid w:val="1C036735"/>
    <w:rsid w:val="1C103D2D"/>
    <w:rsid w:val="1C1965EC"/>
    <w:rsid w:val="1C7701B9"/>
    <w:rsid w:val="1CCF6928"/>
    <w:rsid w:val="1CEA3F89"/>
    <w:rsid w:val="1CF73295"/>
    <w:rsid w:val="1D451326"/>
    <w:rsid w:val="1D5F4748"/>
    <w:rsid w:val="1D99665F"/>
    <w:rsid w:val="1E5531FB"/>
    <w:rsid w:val="1E621D9B"/>
    <w:rsid w:val="1E9448CB"/>
    <w:rsid w:val="1E945AB3"/>
    <w:rsid w:val="1EA3498E"/>
    <w:rsid w:val="1EFB5835"/>
    <w:rsid w:val="1F5052F4"/>
    <w:rsid w:val="1F8A1433"/>
    <w:rsid w:val="1FD94E57"/>
    <w:rsid w:val="202A11DB"/>
    <w:rsid w:val="205247F6"/>
    <w:rsid w:val="205508A0"/>
    <w:rsid w:val="206501BF"/>
    <w:rsid w:val="20C21B5F"/>
    <w:rsid w:val="20D8491F"/>
    <w:rsid w:val="2163103A"/>
    <w:rsid w:val="217D79B3"/>
    <w:rsid w:val="219B3B12"/>
    <w:rsid w:val="219E2440"/>
    <w:rsid w:val="21F8300E"/>
    <w:rsid w:val="22446ABF"/>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830DF3"/>
    <w:rsid w:val="26DB7398"/>
    <w:rsid w:val="27033FBD"/>
    <w:rsid w:val="2705728B"/>
    <w:rsid w:val="27417BF8"/>
    <w:rsid w:val="27693B45"/>
    <w:rsid w:val="283A129B"/>
    <w:rsid w:val="28FE78EF"/>
    <w:rsid w:val="29135BB1"/>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43059A"/>
    <w:rsid w:val="2D7C6F9A"/>
    <w:rsid w:val="2E1770EB"/>
    <w:rsid w:val="2EA801C6"/>
    <w:rsid w:val="2ED263DE"/>
    <w:rsid w:val="2F312BD6"/>
    <w:rsid w:val="2F4F315F"/>
    <w:rsid w:val="2F5260FE"/>
    <w:rsid w:val="2F78760A"/>
    <w:rsid w:val="30780EC9"/>
    <w:rsid w:val="30934CBC"/>
    <w:rsid w:val="309A0801"/>
    <w:rsid w:val="31651329"/>
    <w:rsid w:val="31C46552"/>
    <w:rsid w:val="31EC7268"/>
    <w:rsid w:val="32691E0F"/>
    <w:rsid w:val="33722AF4"/>
    <w:rsid w:val="339F6CDD"/>
    <w:rsid w:val="344952F9"/>
    <w:rsid w:val="34962644"/>
    <w:rsid w:val="34E52843"/>
    <w:rsid w:val="34F20284"/>
    <w:rsid w:val="3619346A"/>
    <w:rsid w:val="366152C5"/>
    <w:rsid w:val="372661CD"/>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337DF8"/>
    <w:rsid w:val="3C6C37E2"/>
    <w:rsid w:val="3C7D1C3F"/>
    <w:rsid w:val="3CDF42B5"/>
    <w:rsid w:val="3CEA3E5A"/>
    <w:rsid w:val="3CFD6A0C"/>
    <w:rsid w:val="3DDA1E4D"/>
    <w:rsid w:val="3E284456"/>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7EF222C"/>
    <w:rsid w:val="484652C3"/>
    <w:rsid w:val="489E735B"/>
    <w:rsid w:val="48EF215B"/>
    <w:rsid w:val="49547ADE"/>
    <w:rsid w:val="499358EA"/>
    <w:rsid w:val="49A70025"/>
    <w:rsid w:val="4A1357DE"/>
    <w:rsid w:val="4A9518DB"/>
    <w:rsid w:val="4AB935E6"/>
    <w:rsid w:val="4B1F601E"/>
    <w:rsid w:val="4B65339C"/>
    <w:rsid w:val="4BB827DB"/>
    <w:rsid w:val="4BE2220E"/>
    <w:rsid w:val="4CBF2857"/>
    <w:rsid w:val="4CF82AE4"/>
    <w:rsid w:val="4D097364"/>
    <w:rsid w:val="4D667BB3"/>
    <w:rsid w:val="4D7808AB"/>
    <w:rsid w:val="4DC87963"/>
    <w:rsid w:val="4E0626FD"/>
    <w:rsid w:val="4EA45B39"/>
    <w:rsid w:val="4EED2017"/>
    <w:rsid w:val="4F2E2211"/>
    <w:rsid w:val="4F357344"/>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8A3F45"/>
    <w:rsid w:val="53A5465B"/>
    <w:rsid w:val="53B6028C"/>
    <w:rsid w:val="54392B16"/>
    <w:rsid w:val="54442E65"/>
    <w:rsid w:val="545B2AA1"/>
    <w:rsid w:val="54601DA2"/>
    <w:rsid w:val="549B5701"/>
    <w:rsid w:val="54A9277D"/>
    <w:rsid w:val="55182E77"/>
    <w:rsid w:val="553F16B7"/>
    <w:rsid w:val="558856A9"/>
    <w:rsid w:val="559C3D9A"/>
    <w:rsid w:val="55CA2A9E"/>
    <w:rsid w:val="55CA3B80"/>
    <w:rsid w:val="55E50F1B"/>
    <w:rsid w:val="565F6886"/>
    <w:rsid w:val="56BC237C"/>
    <w:rsid w:val="56CD4B4D"/>
    <w:rsid w:val="575C7815"/>
    <w:rsid w:val="5798381B"/>
    <w:rsid w:val="57D4447A"/>
    <w:rsid w:val="57F759F2"/>
    <w:rsid w:val="5835093B"/>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932202"/>
    <w:rsid w:val="5CBA79CA"/>
    <w:rsid w:val="5CC87E6F"/>
    <w:rsid w:val="5CD918EA"/>
    <w:rsid w:val="5D247D3D"/>
    <w:rsid w:val="5DAE1AC9"/>
    <w:rsid w:val="5DBA5991"/>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155C2D"/>
    <w:rsid w:val="6B315A81"/>
    <w:rsid w:val="6B4E7636"/>
    <w:rsid w:val="6C3F4637"/>
    <w:rsid w:val="6C9D07C7"/>
    <w:rsid w:val="6CB426A8"/>
    <w:rsid w:val="6D3835CD"/>
    <w:rsid w:val="6D9B59D3"/>
    <w:rsid w:val="6DDF18A8"/>
    <w:rsid w:val="6E7742D5"/>
    <w:rsid w:val="6E947A29"/>
    <w:rsid w:val="6EFB1E55"/>
    <w:rsid w:val="701E0D35"/>
    <w:rsid w:val="708C2BAE"/>
    <w:rsid w:val="70D47457"/>
    <w:rsid w:val="717A54B6"/>
    <w:rsid w:val="71E47115"/>
    <w:rsid w:val="72124418"/>
    <w:rsid w:val="72BF52A3"/>
    <w:rsid w:val="73520170"/>
    <w:rsid w:val="73B32D5B"/>
    <w:rsid w:val="74906E74"/>
    <w:rsid w:val="74D2633E"/>
    <w:rsid w:val="75061B64"/>
    <w:rsid w:val="75127B2A"/>
    <w:rsid w:val="756B70AB"/>
    <w:rsid w:val="75D037EE"/>
    <w:rsid w:val="762D45E7"/>
    <w:rsid w:val="76432C97"/>
    <w:rsid w:val="76472E5B"/>
    <w:rsid w:val="76622032"/>
    <w:rsid w:val="76DA2B8D"/>
    <w:rsid w:val="773F1B2E"/>
    <w:rsid w:val="776141C0"/>
    <w:rsid w:val="77E71EE7"/>
    <w:rsid w:val="78403651"/>
    <w:rsid w:val="784051C1"/>
    <w:rsid w:val="789E16E5"/>
    <w:rsid w:val="78DB40C6"/>
    <w:rsid w:val="7954401D"/>
    <w:rsid w:val="79547EF1"/>
    <w:rsid w:val="79953F64"/>
    <w:rsid w:val="79A24C96"/>
    <w:rsid w:val="7AC02D1F"/>
    <w:rsid w:val="7AE80A7B"/>
    <w:rsid w:val="7AE861A8"/>
    <w:rsid w:val="7B452E9A"/>
    <w:rsid w:val="7B5C7060"/>
    <w:rsid w:val="7B5E14E4"/>
    <w:rsid w:val="7B741965"/>
    <w:rsid w:val="7BBF78B4"/>
    <w:rsid w:val="7BFE30BC"/>
    <w:rsid w:val="7C0A7BF1"/>
    <w:rsid w:val="7CD24C07"/>
    <w:rsid w:val="7CDD0037"/>
    <w:rsid w:val="7CE35ABB"/>
    <w:rsid w:val="7D2C5AF6"/>
    <w:rsid w:val="7D8F4D87"/>
    <w:rsid w:val="7DBB66FE"/>
    <w:rsid w:val="7DBE27C1"/>
    <w:rsid w:val="7DCA5F0F"/>
    <w:rsid w:val="7E043D75"/>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qFormat/>
    <w:uiPriority w:val="1"/>
    <w:rPr>
      <w:rFonts w:ascii="宋体" w:hAnsi="宋体" w:cs="Courier New"/>
      <w:sz w:val="32"/>
      <w:szCs w:val="32"/>
    </w:rPr>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har"/>
    <w:basedOn w:val="1"/>
    <w:link w:val="9"/>
    <w:qFormat/>
    <w:uiPriority w:val="0"/>
    <w:rPr>
      <w:rFonts w:ascii="宋体" w:hAnsi="宋体" w:cs="Courier New"/>
      <w:sz w:val="32"/>
      <w:szCs w:val="32"/>
    </w:rPr>
  </w:style>
  <w:style w:type="character" w:styleId="11">
    <w:name w:val="Strong"/>
    <w:basedOn w:val="9"/>
    <w:qFormat/>
    <w:uiPriority w:val="0"/>
    <w:rPr>
      <w:b/>
      <w:bCs/>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TotalTime>2</TotalTime>
  <ScaleCrop>false</ScaleCrop>
  <LinksUpToDate>false</LinksUpToDate>
  <CharactersWithSpaces>10242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2025-03-04T02:23:11Z</dcterms:modified>
  <dc:title>关于2019年部门预算的批复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