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Lines="0" w:afterLines="0" w:line="560" w:lineRule="exact"/>
        <w:textAlignment w:val="auto"/>
        <w:rPr>
          <w:rFonts w:hint="eastAsia" w:ascii="黑体" w:hAnsi="黑体" w:eastAsia="黑体" w:cs="黑体"/>
          <w:b w:val="0"/>
          <w:bCs w:val="0"/>
          <w:spacing w:val="15"/>
          <w:sz w:val="32"/>
          <w:szCs w:val="32"/>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 w:val="0"/>
          <w:bCs w:val="0"/>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r>
        <w:rPr>
          <w:rFonts w:hint="eastAsia" w:ascii="方正小标宋简体" w:hAnsi="方正小标宋简体" w:eastAsia="方正小标宋简体" w:cs="方正小标宋简体"/>
          <w:bCs/>
          <w:spacing w:val="15"/>
          <w:sz w:val="44"/>
          <w:szCs w:val="44"/>
          <w:highlight w:val="none"/>
          <w:lang w:eastAsia="zh-CN"/>
        </w:rPr>
        <w:t>莲都区人民法院</w:t>
      </w:r>
      <w:r>
        <w:rPr>
          <w:rFonts w:hint="eastAsia" w:ascii="方正小标宋简体" w:hAnsi="方正小标宋简体" w:eastAsia="方正小标宋简体" w:cs="方正小标宋简体"/>
          <w:bCs/>
          <w:spacing w:val="15"/>
          <w:sz w:val="44"/>
          <w:szCs w:val="44"/>
          <w:highlight w:val="none"/>
          <w:lang w:val="en-US" w:eastAsia="zh-CN"/>
        </w:rPr>
        <w:t>2022</w:t>
      </w:r>
      <w:r>
        <w:rPr>
          <w:rFonts w:hint="eastAsia" w:ascii="方正小标宋简体" w:hAnsi="方正小标宋简体" w:eastAsia="方正小标宋简体" w:cs="方正小标宋简体"/>
          <w:bCs/>
          <w:spacing w:val="15"/>
          <w:sz w:val="44"/>
          <w:szCs w:val="44"/>
          <w:highlight w:val="none"/>
        </w:rPr>
        <w:t>年</w:t>
      </w:r>
      <w:r>
        <w:rPr>
          <w:rFonts w:hint="eastAsia" w:ascii="方正小标宋简体" w:hAnsi="方正小标宋简体" w:eastAsia="方正小标宋简体" w:cs="方正小标宋简体"/>
          <w:bCs/>
          <w:spacing w:val="15"/>
          <w:sz w:val="44"/>
          <w:szCs w:val="44"/>
          <w:highlight w:val="none"/>
          <w:lang w:eastAsia="zh-CN"/>
        </w:rPr>
        <w:t>单位</w:t>
      </w:r>
      <w:r>
        <w:rPr>
          <w:rFonts w:hint="eastAsia" w:ascii="方正小标宋简体" w:hAnsi="方正小标宋简体" w:eastAsia="方正小标宋简体" w:cs="方正小标宋简体"/>
          <w:bCs/>
          <w:spacing w:val="15"/>
          <w:sz w:val="44"/>
          <w:szCs w:val="44"/>
          <w:highlight w:val="none"/>
        </w:rPr>
        <w:t>预算</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pStyle w:val="2"/>
        <w:rPr>
          <w:rStyle w:val="11"/>
          <w:rFonts w:hint="eastAsia" w:ascii="黑体" w:eastAsia="黑体"/>
          <w:b w:val="0"/>
          <w:color w:val="000000"/>
          <w:sz w:val="32"/>
          <w:szCs w:val="32"/>
          <w:highlight w:val="yellow"/>
          <w:lang w:eastAsia="zh-CN"/>
        </w:rPr>
      </w:pPr>
    </w:p>
    <w:p>
      <w:pPr>
        <w:pStyle w:val="2"/>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jc w:val="both"/>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default" w:ascii="黑体" w:eastAsia="黑体"/>
          <w:b w:val="0"/>
          <w:color w:val="000000"/>
          <w:sz w:val="32"/>
          <w:szCs w:val="32"/>
          <w:highlight w:val="none"/>
          <w:lang w:val="en-US" w:eastAsia="zh-CN"/>
        </w:rPr>
      </w:pPr>
      <w:r>
        <w:rPr>
          <w:rStyle w:val="11"/>
          <w:rFonts w:hint="eastAsia" w:ascii="黑体" w:eastAsia="黑体"/>
          <w:b w:val="0"/>
          <w:color w:val="000000"/>
          <w:sz w:val="32"/>
          <w:szCs w:val="32"/>
          <w:highlight w:val="none"/>
          <w:lang w:val="en-US" w:eastAsia="zh-CN"/>
        </w:rPr>
        <w:t>目录</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Fonts w:hint="default" w:ascii="Times New Roman" w:hAnsi="Times New Roman" w:eastAsia="黑体"/>
          <w:sz w:val="32"/>
        </w:rPr>
      </w:pPr>
      <w:r>
        <w:rPr>
          <w:rFonts w:hint="eastAsia" w:ascii="黑体" w:eastAsia="黑体"/>
          <w:color w:val="000000"/>
          <w:sz w:val="32"/>
          <w:highlight w:val="white"/>
        </w:rPr>
        <w:t>一、</w:t>
      </w:r>
      <w:r>
        <w:rPr>
          <w:rStyle w:val="11"/>
          <w:rFonts w:hint="eastAsia" w:ascii="黑体" w:eastAsia="黑体"/>
          <w:b w:val="0"/>
          <w:color w:val="000000"/>
          <w:sz w:val="32"/>
          <w:szCs w:val="32"/>
        </w:rPr>
        <w:t>莲都区人民法院概况</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（一）主要职能</w:t>
      </w:r>
    </w:p>
    <w:p>
      <w:pPr>
        <w:autoSpaceDE w:val="0"/>
        <w:autoSpaceDN w:val="0"/>
        <w:adjustRightInd w:val="0"/>
        <w:ind w:leftChars="200"/>
        <w:jc w:val="left"/>
        <w:rPr>
          <w:rFonts w:hint="default"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11"/>
          <w:rFonts w:hint="eastAsia" w:ascii="黑体" w:eastAsia="黑体"/>
          <w:b w:val="0"/>
          <w:color w:val="000000"/>
          <w:sz w:val="32"/>
          <w:szCs w:val="32"/>
          <w:highlight w:val="none"/>
          <w:lang w:eastAsia="zh-CN"/>
        </w:rPr>
      </w:pPr>
      <w:r>
        <w:rPr>
          <w:rStyle w:val="11"/>
          <w:rFonts w:hint="eastAsia" w:ascii="黑体" w:eastAsia="黑体"/>
          <w:b w:val="0"/>
          <w:color w:val="000000"/>
          <w:sz w:val="32"/>
          <w:szCs w:val="32"/>
          <w:highlight w:val="none"/>
          <w:lang w:eastAsia="zh-CN"/>
        </w:rPr>
        <w:t>二、</w:t>
      </w:r>
      <w:r>
        <w:rPr>
          <w:rStyle w:val="11"/>
          <w:rFonts w:hint="eastAsia" w:ascii="黑体" w:eastAsia="黑体"/>
          <w:b w:val="0"/>
          <w:color w:val="000000"/>
          <w:sz w:val="32"/>
          <w:szCs w:val="32"/>
          <w:highlight w:val="none"/>
          <w:lang w:val="en-US" w:eastAsia="zh-CN"/>
        </w:rPr>
        <w:t>2022</w:t>
      </w:r>
      <w:r>
        <w:rPr>
          <w:rStyle w:val="11"/>
          <w:rFonts w:hint="eastAsia" w:ascii="黑体" w:eastAsia="黑体"/>
          <w:b w:val="0"/>
          <w:color w:val="000000"/>
          <w:sz w:val="32"/>
          <w:szCs w:val="32"/>
          <w:highlight w:val="none"/>
        </w:rPr>
        <w:t>年</w:t>
      </w:r>
      <w:r>
        <w:rPr>
          <w:rStyle w:val="11"/>
          <w:rFonts w:hint="eastAsia" w:ascii="黑体" w:eastAsia="黑体"/>
          <w:b w:val="0"/>
          <w:color w:val="000000"/>
          <w:sz w:val="32"/>
          <w:szCs w:val="32"/>
          <w:highlight w:val="none"/>
          <w:lang w:val="en-US" w:eastAsia="zh-CN"/>
        </w:rPr>
        <w:t>莲都区人民法院</w:t>
      </w:r>
      <w:r>
        <w:rPr>
          <w:rStyle w:val="11"/>
          <w:rFonts w:hint="eastAsia" w:ascii="黑体" w:eastAsia="黑体"/>
          <w:b w:val="0"/>
          <w:color w:val="000000"/>
          <w:sz w:val="32"/>
          <w:szCs w:val="32"/>
          <w:highlight w:val="none"/>
        </w:rPr>
        <w:t>预算安排情况说明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w:t>
      </w:r>
      <w:r>
        <w:rPr>
          <w:rFonts w:hint="eastAsia" w:ascii="楷体_GB2312" w:hAnsi="楷体_GB2312" w:eastAsia="楷体_GB2312" w:cs="楷体_GB2312"/>
          <w:b w:val="0"/>
          <w:bCs/>
          <w:sz w:val="32"/>
          <w:szCs w:val="32"/>
          <w:highlight w:val="none"/>
          <w:lang w:eastAsia="zh-CN"/>
        </w:rPr>
        <w:t>关于莲都区人民法院</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en-US" w:eastAsia="zh-CN"/>
        </w:rPr>
        <w:t>（二）</w:t>
      </w:r>
      <w:r>
        <w:rPr>
          <w:rFonts w:hint="eastAsia" w:ascii="楷体_GB2312" w:hAnsi="楷体_GB2312" w:eastAsia="楷体_GB2312" w:cs="楷体_GB2312"/>
          <w:b w:val="0"/>
          <w:bCs/>
          <w:sz w:val="32"/>
          <w:szCs w:val="32"/>
          <w:highlight w:val="none"/>
          <w:lang w:eastAsia="zh-CN"/>
        </w:rPr>
        <w:t>关于莲都区人民法院</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年收入预算</w:t>
      </w:r>
      <w:r>
        <w:rPr>
          <w:rFonts w:hint="eastAsia" w:ascii="楷体_GB2312" w:hAnsi="楷体_GB2312" w:eastAsia="楷体_GB2312" w:cs="楷体_GB2312"/>
          <w:b w:val="0"/>
          <w:bCs/>
          <w:sz w:val="32"/>
          <w:szCs w:val="32"/>
          <w:highlight w:val="none"/>
          <w:lang w:eastAsia="zh-CN"/>
        </w:rPr>
        <w:t>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三</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关于莲都区人民法院</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年支出预算</w:t>
      </w:r>
      <w:r>
        <w:rPr>
          <w:rFonts w:hint="eastAsia" w:ascii="楷体_GB2312" w:hAnsi="楷体_GB2312" w:eastAsia="楷体_GB2312" w:cs="楷体_GB2312"/>
          <w:b w:val="0"/>
          <w:bCs/>
          <w:sz w:val="32"/>
          <w:szCs w:val="32"/>
          <w:highlight w:val="none"/>
          <w:lang w:eastAsia="zh-CN"/>
        </w:rPr>
        <w:t>情况说明</w:t>
      </w:r>
      <w:r>
        <w:rPr>
          <w:rFonts w:hint="eastAsia" w:ascii="楷体_GB2312" w:hAnsi="楷体_GB2312" w:eastAsia="楷体_GB2312" w:cs="楷体_GB2312"/>
          <w:b w:val="0"/>
          <w:bCs/>
          <w:sz w:val="32"/>
          <w:szCs w:val="32"/>
          <w:highlight w:val="none"/>
        </w:rPr>
        <w:br w:type="textWrapping"/>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四</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关于莲都区人民法院</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年财政拨款</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（五）关于莲都区人民法院</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一般公共预算当年拨款情况说明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val="en-US" w:eastAsia="zh-CN"/>
        </w:rPr>
        <w:t>（六）</w:t>
      </w:r>
      <w:r>
        <w:rPr>
          <w:rFonts w:hint="eastAsia" w:ascii="楷体_GB2312" w:hAnsi="楷体_GB2312" w:eastAsia="楷体_GB2312" w:cs="楷体_GB2312"/>
          <w:b w:val="0"/>
          <w:bCs/>
          <w:sz w:val="32"/>
          <w:szCs w:val="32"/>
          <w:highlight w:val="none"/>
          <w:lang w:eastAsia="zh-CN"/>
        </w:rPr>
        <w:t>关于莲都区人民法院</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一般公共预算基本支出情况说明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（七）关于莲都区人民法院</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政府性基金预算支出情况说明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（八）关于莲都区人民法院</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（九）关于莲都区人民法院</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sz w:val="32"/>
          <w:szCs w:val="32"/>
          <w:highlight w:val="none"/>
        </w:rPr>
        <w:t>“三公”经费预算情况</w:t>
      </w:r>
      <w:r>
        <w:rPr>
          <w:rFonts w:hint="eastAsia" w:ascii="楷体_GB2312" w:hAnsi="楷体_GB2312" w:eastAsia="楷体_GB2312" w:cs="楷体_GB2312"/>
          <w:b w:val="0"/>
          <w:bCs/>
          <w:sz w:val="32"/>
          <w:szCs w:val="32"/>
          <w:highlight w:val="none"/>
          <w:lang w:eastAsia="zh-CN"/>
        </w:rPr>
        <w:t>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16"/>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11"/>
          <w:rFonts w:hint="eastAsia" w:ascii="黑体" w:hAnsi="Calibri" w:eastAsia="黑体" w:cs="Times New Roman"/>
          <w:b w:val="0"/>
          <w:color w:val="000000"/>
          <w:kern w:val="2"/>
          <w:sz w:val="32"/>
          <w:szCs w:val="32"/>
          <w:highlight w:val="none"/>
          <w:lang w:val="en-US" w:eastAsia="zh-CN" w:bidi="ar-SA"/>
        </w:rPr>
      </w:pPr>
      <w:r>
        <w:rPr>
          <w:rStyle w:val="11"/>
          <w:rFonts w:hint="eastAsia" w:ascii="黑体" w:hAnsi="Calibri" w:eastAsia="黑体" w:cs="Times New Roman"/>
          <w:b w:val="0"/>
          <w:color w:val="000000"/>
          <w:kern w:val="2"/>
          <w:sz w:val="32"/>
          <w:szCs w:val="32"/>
          <w:highlight w:val="none"/>
          <w:lang w:val="en-US" w:eastAsia="zh-CN" w:bidi="ar-SA"/>
        </w:rPr>
        <w:t>三、名词解释</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11"/>
          <w:rFonts w:hint="eastAsia" w:ascii="黑体" w:eastAsia="黑体"/>
          <w:b w:val="0"/>
          <w:color w:val="000000"/>
          <w:sz w:val="32"/>
          <w:szCs w:val="32"/>
          <w:highlight w:val="none"/>
          <w:lang w:eastAsia="zh-CN"/>
        </w:rPr>
      </w:pPr>
      <w:r>
        <w:rPr>
          <w:rStyle w:val="11"/>
          <w:rFonts w:hint="eastAsia" w:ascii="黑体" w:eastAsia="黑体"/>
          <w:b w:val="0"/>
          <w:color w:val="000000"/>
          <w:sz w:val="32"/>
          <w:szCs w:val="32"/>
          <w:highlight w:val="none"/>
          <w:lang w:eastAsia="zh-CN"/>
        </w:rPr>
        <w:t>四、</w:t>
      </w:r>
      <w:r>
        <w:rPr>
          <w:rStyle w:val="11"/>
          <w:rFonts w:hint="eastAsia" w:ascii="黑体" w:eastAsia="黑体"/>
          <w:b w:val="0"/>
          <w:color w:val="000000"/>
          <w:sz w:val="32"/>
          <w:szCs w:val="32"/>
          <w:highlight w:val="none"/>
          <w:lang w:val="en-US" w:eastAsia="zh-CN"/>
        </w:rPr>
        <w:t>2022</w:t>
      </w:r>
      <w:r>
        <w:rPr>
          <w:rStyle w:val="11"/>
          <w:rFonts w:hint="eastAsia" w:ascii="黑体" w:eastAsia="黑体"/>
          <w:b w:val="0"/>
          <w:color w:val="000000"/>
          <w:sz w:val="32"/>
          <w:szCs w:val="32"/>
          <w:highlight w:val="none"/>
        </w:rPr>
        <w:t>年</w:t>
      </w:r>
      <w:r>
        <w:rPr>
          <w:rStyle w:val="11"/>
          <w:rFonts w:hint="eastAsia" w:ascii="黑体" w:eastAsia="黑体"/>
          <w:b w:val="0"/>
          <w:color w:val="000000"/>
          <w:sz w:val="32"/>
          <w:szCs w:val="32"/>
          <w:highlight w:val="none"/>
          <w:lang w:eastAsia="zh-CN"/>
        </w:rPr>
        <w:t>莲都区人民法院单位预算表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（一）2022年区级单位收支预算总表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（二）2022年区级单位收入预算总表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（三）2022年区级单位支出预算总表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（四）2022年区级单位财政拨款收支预算总表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（五）2022年区级单位一般公共预算支出表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（六）2022年区级单位一般公共预算基本支出表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（七）2022年区级单位一般公共预算“三公”经费支出表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（八）2022年区级单位政府性基金预算支出表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（九）2022年区级单位国有资本经营预算支出表</w:t>
      </w:r>
    </w:p>
    <w:p>
      <w:pPr>
        <w:autoSpaceDE w:val="0"/>
        <w:autoSpaceDN w:val="0"/>
        <w:adjustRightInd w:val="0"/>
        <w:ind w:leftChars="200"/>
        <w:jc w:val="left"/>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（十）2022年区级单位项目支出预算表</w:t>
      </w:r>
    </w:p>
    <w:p>
      <w:pPr>
        <w:pStyle w:val="2"/>
        <w:rPr>
          <w:rStyle w:val="11"/>
          <w:rFonts w:hint="eastAsia" w:ascii="黑体" w:eastAsia="黑体"/>
          <w:b w:val="0"/>
          <w:color w:val="000000"/>
          <w:sz w:val="32"/>
          <w:szCs w:val="32"/>
          <w:highlight w:val="none"/>
        </w:rPr>
      </w:pPr>
    </w:p>
    <w:p>
      <w:pPr>
        <w:pStyle w:val="2"/>
        <w:rPr>
          <w:rStyle w:val="11"/>
          <w:rFonts w:hint="eastAsia" w:ascii="黑体" w:eastAsia="黑体"/>
          <w:b w:val="0"/>
          <w:color w:val="000000"/>
          <w:sz w:val="32"/>
          <w:szCs w:val="32"/>
          <w:highlight w:val="none"/>
        </w:rPr>
      </w:pPr>
    </w:p>
    <w:p>
      <w:pPr>
        <w:pStyle w:val="2"/>
        <w:rPr>
          <w:rStyle w:val="11"/>
          <w:rFonts w:hint="eastAsia" w:ascii="黑体" w:eastAsia="黑体"/>
          <w:b w:val="0"/>
          <w:color w:val="000000"/>
          <w:sz w:val="32"/>
          <w:szCs w:val="32"/>
          <w:highlight w:val="none"/>
        </w:rPr>
      </w:pPr>
    </w:p>
    <w:p>
      <w:pPr>
        <w:pStyle w:val="2"/>
        <w:rPr>
          <w:rStyle w:val="11"/>
          <w:rFonts w:hint="eastAsia" w:ascii="黑体" w:eastAsia="黑体"/>
          <w:b w:val="0"/>
          <w:color w:val="000000"/>
          <w:sz w:val="32"/>
          <w:szCs w:val="32"/>
          <w:highlight w:val="none"/>
        </w:rPr>
      </w:pPr>
    </w:p>
    <w:p>
      <w:pPr>
        <w:pStyle w:val="2"/>
        <w:rPr>
          <w:rStyle w:val="11"/>
          <w:rFonts w:hint="eastAsia" w:ascii="黑体" w:eastAsia="黑体"/>
          <w:b w:val="0"/>
          <w:color w:val="000000"/>
          <w:sz w:val="32"/>
          <w:szCs w:val="32"/>
          <w:highlight w:val="none"/>
        </w:rPr>
      </w:pPr>
    </w:p>
    <w:p>
      <w:pPr>
        <w:pStyle w:val="2"/>
        <w:rPr>
          <w:rStyle w:val="11"/>
          <w:rFonts w:hint="eastAsia" w:ascii="黑体" w:eastAsia="黑体"/>
          <w:b w:val="0"/>
          <w:color w:val="000000"/>
          <w:sz w:val="32"/>
          <w:szCs w:val="32"/>
          <w:highlight w:val="none"/>
        </w:rPr>
      </w:pPr>
    </w:p>
    <w:p>
      <w:pPr>
        <w:pStyle w:val="2"/>
        <w:tabs>
          <w:tab w:val="left" w:pos="2608"/>
        </w:tabs>
        <w:rPr>
          <w:rStyle w:val="11"/>
          <w:rFonts w:hint="eastAsia" w:ascii="黑体" w:eastAsia="黑体"/>
          <w:b w:val="0"/>
          <w:color w:val="000000"/>
          <w:sz w:val="32"/>
          <w:szCs w:val="32"/>
          <w:highlight w:val="none"/>
          <w:lang w:eastAsia="zh-CN"/>
        </w:rPr>
      </w:pPr>
    </w:p>
    <w:p>
      <w:pPr>
        <w:pStyle w:val="2"/>
        <w:tabs>
          <w:tab w:val="left" w:pos="2608"/>
        </w:tabs>
        <w:rPr>
          <w:rStyle w:val="11"/>
          <w:rFonts w:hint="eastAsia" w:ascii="黑体" w:eastAsia="黑体"/>
          <w:b w:val="0"/>
          <w:color w:val="000000"/>
          <w:sz w:val="32"/>
          <w:szCs w:val="32"/>
          <w:highlight w:val="none"/>
          <w:lang w:eastAsia="zh-CN"/>
        </w:rPr>
      </w:pPr>
    </w:p>
    <w:p>
      <w:pPr>
        <w:pStyle w:val="2"/>
        <w:tabs>
          <w:tab w:val="left" w:pos="2608"/>
        </w:tabs>
        <w:rPr>
          <w:rStyle w:val="11"/>
          <w:rFonts w:hint="eastAsia" w:ascii="黑体" w:eastAsia="黑体"/>
          <w:b w:val="0"/>
          <w:color w:val="000000"/>
          <w:sz w:val="32"/>
          <w:szCs w:val="32"/>
          <w:highlight w:val="none"/>
          <w:lang w:eastAsia="zh-CN"/>
        </w:rPr>
      </w:pPr>
    </w:p>
    <w:p>
      <w:pPr>
        <w:pStyle w:val="2"/>
        <w:tabs>
          <w:tab w:val="left" w:pos="2608"/>
        </w:tabs>
        <w:rPr>
          <w:rStyle w:val="11"/>
          <w:rFonts w:hint="eastAsia" w:ascii="黑体" w:eastAsia="黑体"/>
          <w:b w:val="0"/>
          <w:color w:val="000000"/>
          <w:sz w:val="32"/>
          <w:szCs w:val="32"/>
          <w:highlight w:val="none"/>
          <w:lang w:eastAsia="zh-CN"/>
        </w:rPr>
      </w:pPr>
    </w:p>
    <w:p>
      <w:pPr>
        <w:keepNext w:val="0"/>
        <w:keepLines w:val="0"/>
        <w:pageBreakBefore w:val="0"/>
        <w:numPr>
          <w:ilvl w:val="0"/>
          <w:numId w:val="1"/>
        </w:numPr>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11"/>
          <w:rFonts w:hint="eastAsia" w:ascii="黑体" w:eastAsia="黑体"/>
          <w:b w:val="0"/>
          <w:color w:val="000000"/>
          <w:sz w:val="32"/>
          <w:szCs w:val="32"/>
        </w:rPr>
      </w:pPr>
      <w:r>
        <w:rPr>
          <w:rStyle w:val="11"/>
          <w:rFonts w:hint="eastAsia" w:ascii="黑体" w:eastAsia="黑体"/>
          <w:b w:val="0"/>
          <w:color w:val="000000"/>
          <w:sz w:val="32"/>
          <w:szCs w:val="32"/>
        </w:rPr>
        <w:t>莲都区人民法院概况</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（一）</w:t>
      </w:r>
      <w:r>
        <w:rPr>
          <w:rFonts w:hint="eastAsia" w:ascii="楷体_GB2312" w:hAnsi="楷体_GB2312" w:eastAsia="楷体_GB2312" w:cs="楷体_GB2312"/>
          <w:b w:val="0"/>
          <w:bCs/>
          <w:sz w:val="32"/>
          <w:szCs w:val="32"/>
          <w:highlight w:val="none"/>
        </w:rPr>
        <w:t>主要职能</w:t>
      </w:r>
    </w:p>
    <w:p>
      <w:pPr>
        <w:snapToGrid w:val="0"/>
        <w:spacing w:line="540" w:lineRule="exact"/>
        <w:ind w:firstLine="643" w:firstLineChars="200"/>
        <w:rPr>
          <w:color w:val="000000"/>
          <w:sz w:val="32"/>
          <w:szCs w:val="32"/>
          <w:shd w:val="clear" w:color="auto" w:fill="FFFFFF"/>
        </w:rPr>
      </w:pPr>
      <w:r>
        <w:rPr>
          <w:rStyle w:val="11"/>
          <w:rFonts w:hint="eastAsia" w:ascii="仿宋_GB2312" w:hAnsi="仿宋_GB2312" w:eastAsia="仿宋_GB2312" w:cs="仿宋_GB2312"/>
          <w:b/>
          <w:bCs/>
          <w:color w:val="000000"/>
          <w:sz w:val="32"/>
          <w:szCs w:val="32"/>
          <w:shd w:val="clear" w:color="auto" w:fill="FFFFFF"/>
          <w:lang w:val="en-US" w:eastAsia="zh-CN"/>
        </w:rPr>
        <w:t>1.</w:t>
      </w:r>
      <w:r>
        <w:rPr>
          <w:rStyle w:val="11"/>
          <w:rFonts w:hint="eastAsia" w:ascii="仿宋_GB2312" w:hAnsi="仿宋_GB2312" w:eastAsia="仿宋_GB2312" w:cs="仿宋_GB2312"/>
          <w:b/>
          <w:bCs/>
          <w:color w:val="000000"/>
          <w:sz w:val="32"/>
          <w:szCs w:val="32"/>
          <w:shd w:val="clear" w:color="auto" w:fill="FFFFFF"/>
        </w:rPr>
        <w:t>立案庭（诉讼服务中心）</w:t>
      </w:r>
      <w:r>
        <w:rPr>
          <w:rStyle w:val="11"/>
          <w:rFonts w:hint="eastAsia"/>
          <w:color w:val="000000"/>
          <w:sz w:val="32"/>
          <w:szCs w:val="32"/>
          <w:shd w:val="clear" w:color="auto" w:fill="FFFFFF"/>
        </w:rPr>
        <w:t xml:space="preserve">  </w:t>
      </w:r>
      <w:r>
        <w:rPr>
          <w:rFonts w:hint="eastAsia" w:ascii="仿宋_GB2312" w:eastAsia="仿宋_GB2312"/>
          <w:bCs/>
          <w:sz w:val="32"/>
          <w:szCs w:val="32"/>
        </w:rPr>
        <w:t>负责登记立案、涉诉信访、导诉接待、材料接转、法律文书送达、档案查询、法律咨询、诉前引导、诉前保全受理及裁决；负责本院民商事案件繁简分流、立案调解；办理适用督促程序、公示催告程序等案件。</w:t>
      </w:r>
    </w:p>
    <w:p>
      <w:pPr>
        <w:snapToGrid w:val="0"/>
        <w:spacing w:line="540" w:lineRule="exact"/>
        <w:ind w:firstLine="643" w:firstLineChars="200"/>
        <w:rPr>
          <w:color w:val="000000"/>
          <w:sz w:val="32"/>
          <w:szCs w:val="32"/>
          <w:shd w:val="clear" w:color="auto" w:fill="FFFFFF"/>
        </w:rPr>
      </w:pPr>
      <w:r>
        <w:rPr>
          <w:rStyle w:val="11"/>
          <w:rFonts w:hint="eastAsia" w:ascii="仿宋_GB2312" w:hAnsi="仿宋_GB2312" w:eastAsia="仿宋_GB2312" w:cs="仿宋_GB2312"/>
          <w:b/>
          <w:bCs/>
          <w:color w:val="000000"/>
          <w:sz w:val="32"/>
          <w:szCs w:val="32"/>
          <w:shd w:val="clear" w:color="auto" w:fill="FFFFFF"/>
          <w:lang w:val="en-US" w:eastAsia="zh-CN"/>
        </w:rPr>
        <w:t>2.刑事审判庭</w:t>
      </w:r>
      <w:r>
        <w:rPr>
          <w:rStyle w:val="11"/>
          <w:rFonts w:hint="eastAsia"/>
          <w:color w:val="000000"/>
          <w:sz w:val="32"/>
          <w:szCs w:val="32"/>
          <w:shd w:val="clear" w:color="auto" w:fill="FFFFFF"/>
        </w:rPr>
        <w:t xml:space="preserve">  </w:t>
      </w:r>
      <w:r>
        <w:rPr>
          <w:rFonts w:hint="eastAsia" w:ascii="仿宋_GB2312" w:eastAsia="仿宋_GB2312"/>
          <w:bCs/>
          <w:sz w:val="32"/>
          <w:szCs w:val="32"/>
        </w:rPr>
        <w:t>负责审判由本院管辖的刑事公诉和自诉案件；对案件审理中发现的问题，提出司法建议；做好少年犯的教育、感化、挽救工作；办理其他有关事项。</w:t>
      </w:r>
    </w:p>
    <w:p>
      <w:pPr>
        <w:snapToGrid w:val="0"/>
        <w:spacing w:line="540" w:lineRule="exact"/>
        <w:ind w:firstLine="643" w:firstLineChars="200"/>
        <w:rPr>
          <w:color w:val="000000"/>
          <w:sz w:val="32"/>
          <w:szCs w:val="32"/>
          <w:shd w:val="clear" w:color="auto" w:fill="FFFFFF"/>
        </w:rPr>
      </w:pPr>
      <w:r>
        <w:rPr>
          <w:rStyle w:val="11"/>
          <w:rFonts w:hint="eastAsia" w:ascii="仿宋_GB2312" w:hAnsi="仿宋_GB2312" w:eastAsia="仿宋_GB2312" w:cs="仿宋_GB2312"/>
          <w:b/>
          <w:bCs/>
          <w:color w:val="000000"/>
          <w:sz w:val="32"/>
          <w:szCs w:val="32"/>
          <w:shd w:val="clear" w:color="auto" w:fill="FFFFFF"/>
          <w:lang w:val="en-US" w:eastAsia="zh-CN"/>
        </w:rPr>
        <w:t>3.民事审判一庭</w:t>
      </w:r>
      <w:r>
        <w:rPr>
          <w:rStyle w:val="11"/>
          <w:rFonts w:hint="eastAsia"/>
          <w:color w:val="000000"/>
          <w:sz w:val="32"/>
          <w:szCs w:val="32"/>
          <w:shd w:val="clear" w:color="auto" w:fill="FFFFFF"/>
        </w:rPr>
        <w:t xml:space="preserve">  </w:t>
      </w:r>
      <w:r>
        <w:rPr>
          <w:rFonts w:hint="eastAsia" w:ascii="仿宋_GB2312" w:eastAsia="仿宋_GB2312"/>
          <w:bCs/>
          <w:sz w:val="32"/>
          <w:szCs w:val="32"/>
        </w:rPr>
        <w:t>负责审理本院疑难复杂的民商事案件和企业破产等特殊类型案件；对案件审理中发现的问题，提出司法建议；指导人民法庭的民事审判工作；办理其他有关事项。</w:t>
      </w:r>
    </w:p>
    <w:p>
      <w:pPr>
        <w:snapToGrid w:val="0"/>
        <w:spacing w:line="540" w:lineRule="exact"/>
        <w:ind w:firstLine="630" w:firstLineChars="196"/>
        <w:rPr>
          <w:color w:val="000000"/>
          <w:sz w:val="32"/>
          <w:szCs w:val="32"/>
          <w:shd w:val="clear" w:color="auto" w:fill="FFFFFF"/>
        </w:rPr>
      </w:pPr>
      <w:r>
        <w:rPr>
          <w:rStyle w:val="11"/>
          <w:rFonts w:hint="eastAsia" w:ascii="仿宋_GB2312" w:hAnsi="仿宋_GB2312" w:eastAsia="仿宋_GB2312" w:cs="仿宋_GB2312"/>
          <w:b/>
          <w:bCs/>
          <w:color w:val="000000"/>
          <w:sz w:val="32"/>
          <w:szCs w:val="32"/>
          <w:shd w:val="clear" w:color="auto" w:fill="FFFFFF"/>
          <w:lang w:val="en-US" w:eastAsia="zh-CN"/>
        </w:rPr>
        <w:t>4.民事审判二庭</w:t>
      </w:r>
      <w:r>
        <w:rPr>
          <w:rStyle w:val="11"/>
          <w:rFonts w:hint="eastAsia"/>
          <w:color w:val="000000"/>
          <w:sz w:val="32"/>
          <w:szCs w:val="32"/>
          <w:shd w:val="clear" w:color="auto" w:fill="FFFFFF"/>
        </w:rPr>
        <w:t xml:space="preserve">  </w:t>
      </w:r>
      <w:r>
        <w:rPr>
          <w:rFonts w:hint="eastAsia" w:ascii="仿宋_GB2312" w:eastAsia="仿宋_GB2312"/>
          <w:bCs/>
          <w:sz w:val="32"/>
          <w:szCs w:val="32"/>
        </w:rPr>
        <w:t>负责审理本院繁案以外的简单民商事案件；负责家事审判工作；对案件审理中发现的问题，提出司法建议；办理其他有关事项。</w:t>
      </w:r>
    </w:p>
    <w:p>
      <w:pPr>
        <w:snapToGrid w:val="0"/>
        <w:spacing w:line="540" w:lineRule="exact"/>
        <w:ind w:firstLine="630" w:firstLineChars="196"/>
        <w:rPr>
          <w:rFonts w:hint="eastAsia" w:ascii="仿宋_GB2312" w:eastAsia="仿宋_GB2312"/>
          <w:bCs/>
          <w:sz w:val="32"/>
          <w:szCs w:val="32"/>
        </w:rPr>
      </w:pPr>
      <w:r>
        <w:rPr>
          <w:rStyle w:val="11"/>
          <w:rFonts w:hint="eastAsia" w:ascii="仿宋_GB2312" w:hAnsi="仿宋_GB2312" w:eastAsia="仿宋_GB2312" w:cs="仿宋_GB2312"/>
          <w:b/>
          <w:bCs/>
          <w:color w:val="000000"/>
          <w:sz w:val="32"/>
          <w:szCs w:val="32"/>
          <w:shd w:val="clear" w:color="auto" w:fill="FFFFFF"/>
          <w:lang w:val="en-US" w:eastAsia="zh-CN"/>
        </w:rPr>
        <w:t>5.民事审判三庭</w:t>
      </w:r>
      <w:r>
        <w:rPr>
          <w:rStyle w:val="11"/>
          <w:rFonts w:hint="eastAsia"/>
          <w:color w:val="000000"/>
          <w:sz w:val="32"/>
          <w:szCs w:val="32"/>
          <w:shd w:val="clear" w:color="auto" w:fill="FFFFFF"/>
        </w:rPr>
        <w:t xml:space="preserve">  </w:t>
      </w:r>
      <w:r>
        <w:rPr>
          <w:rFonts w:hint="eastAsia" w:ascii="仿宋_GB2312" w:eastAsia="仿宋_GB2312"/>
          <w:bCs/>
          <w:sz w:val="32"/>
          <w:szCs w:val="32"/>
        </w:rPr>
        <w:t>负责诉前调解、简案速裁、巡回审判工作；负责诉调对接工作，指导基层人民调解委员会的业务工作。</w:t>
      </w:r>
    </w:p>
    <w:p>
      <w:pPr>
        <w:snapToGrid w:val="0"/>
        <w:spacing w:line="540" w:lineRule="exact"/>
        <w:ind w:firstLine="630" w:firstLineChars="196"/>
        <w:rPr>
          <w:color w:val="000000"/>
          <w:sz w:val="32"/>
          <w:szCs w:val="32"/>
          <w:shd w:val="clear" w:color="auto" w:fill="FFFFFF"/>
        </w:rPr>
      </w:pPr>
      <w:r>
        <w:rPr>
          <w:rStyle w:val="11"/>
          <w:rFonts w:hint="eastAsia" w:ascii="仿宋_GB2312" w:hAnsi="仿宋_GB2312" w:eastAsia="仿宋_GB2312" w:cs="仿宋_GB2312"/>
          <w:b/>
          <w:bCs/>
          <w:color w:val="000000"/>
          <w:sz w:val="32"/>
          <w:szCs w:val="32"/>
          <w:shd w:val="clear" w:color="auto" w:fill="FFFFFF"/>
          <w:lang w:val="en-US" w:eastAsia="zh-CN"/>
        </w:rPr>
        <w:t>6.行政审判庭（综合审判庭）</w:t>
      </w:r>
      <w:r>
        <w:rPr>
          <w:rStyle w:val="11"/>
          <w:rFonts w:hint="eastAsia"/>
          <w:color w:val="000000"/>
          <w:sz w:val="32"/>
          <w:szCs w:val="32"/>
          <w:shd w:val="clear" w:color="auto" w:fill="FFFFFF"/>
        </w:rPr>
        <w:t xml:space="preserve"> </w:t>
      </w:r>
      <w:r>
        <w:rPr>
          <w:rFonts w:hint="eastAsia" w:ascii="仿宋_GB2312" w:eastAsia="仿宋_GB2312"/>
          <w:bCs/>
          <w:sz w:val="32"/>
          <w:szCs w:val="32"/>
        </w:rPr>
        <w:t>负责审理行政案件；审查并决定非诉行政执行案件；对案件审理中发现的问题，提出司法建议；办理行政赔偿案件及其他有关的赔偿工作事宜；负责审理环境资源相关案件；负责司法救助；办理其他有关事项。</w:t>
      </w:r>
    </w:p>
    <w:p>
      <w:pPr>
        <w:snapToGrid w:val="0"/>
        <w:spacing w:line="540" w:lineRule="exact"/>
        <w:ind w:firstLine="630" w:firstLineChars="196"/>
        <w:rPr>
          <w:rFonts w:hint="eastAsia" w:ascii="仿宋_GB2312" w:eastAsia="仿宋_GB2312"/>
          <w:bCs/>
          <w:sz w:val="32"/>
          <w:szCs w:val="32"/>
        </w:rPr>
      </w:pPr>
      <w:r>
        <w:rPr>
          <w:rStyle w:val="11"/>
          <w:rFonts w:hint="eastAsia" w:ascii="仿宋_GB2312" w:hAnsi="仿宋_GB2312" w:eastAsia="仿宋_GB2312" w:cs="仿宋_GB2312"/>
          <w:b/>
          <w:bCs/>
          <w:color w:val="000000"/>
          <w:sz w:val="32"/>
          <w:szCs w:val="32"/>
          <w:shd w:val="clear" w:color="auto" w:fill="FFFFFF"/>
          <w:lang w:val="en-US" w:eastAsia="zh-CN"/>
        </w:rPr>
        <w:t>7.执行局</w:t>
      </w:r>
      <w:r>
        <w:rPr>
          <w:rStyle w:val="11"/>
          <w:rFonts w:hint="eastAsia"/>
          <w:color w:val="000000"/>
          <w:sz w:val="32"/>
          <w:szCs w:val="32"/>
          <w:shd w:val="clear" w:color="auto" w:fill="FFFFFF"/>
        </w:rPr>
        <w:t xml:space="preserve">  </w:t>
      </w:r>
      <w:r>
        <w:rPr>
          <w:rFonts w:hint="eastAsia" w:ascii="仿宋_GB2312" w:eastAsia="仿宋_GB2312"/>
          <w:bCs/>
          <w:sz w:val="32"/>
          <w:szCs w:val="32"/>
        </w:rPr>
        <w:t>负责民事、商事案件、仲裁案件、刑事附带民事诉讼案件的执行；负责行政机关申请的非诉行政执行案件、刑事罚没案件的执行；负责执行信访工作；办理司法鉴定、评估、拍卖、财产保全实施等工作。</w:t>
      </w:r>
    </w:p>
    <w:p>
      <w:pPr>
        <w:snapToGrid w:val="0"/>
        <w:spacing w:line="540" w:lineRule="exact"/>
        <w:ind w:firstLine="630" w:firstLineChars="196"/>
        <w:rPr>
          <w:color w:val="000000"/>
          <w:sz w:val="32"/>
          <w:szCs w:val="32"/>
          <w:shd w:val="clear" w:color="auto" w:fill="FFFFFF"/>
        </w:rPr>
      </w:pPr>
      <w:r>
        <w:rPr>
          <w:rStyle w:val="11"/>
          <w:rFonts w:hint="eastAsia" w:ascii="仿宋_GB2312" w:hAnsi="仿宋_GB2312" w:eastAsia="仿宋_GB2312" w:cs="仿宋_GB2312"/>
          <w:b/>
          <w:bCs/>
          <w:color w:val="000000"/>
          <w:sz w:val="32"/>
          <w:szCs w:val="32"/>
          <w:shd w:val="clear" w:color="auto" w:fill="FFFFFF"/>
          <w:lang w:val="en-US" w:eastAsia="zh-CN"/>
        </w:rPr>
        <w:t>8.政治部（机关党委）</w:t>
      </w:r>
      <w:r>
        <w:rPr>
          <w:rFonts w:hint="eastAsia"/>
          <w:color w:val="000000"/>
          <w:sz w:val="32"/>
          <w:szCs w:val="32"/>
          <w:shd w:val="clear" w:color="auto" w:fill="FFFFFF"/>
        </w:rPr>
        <w:t>　</w:t>
      </w:r>
      <w:r>
        <w:rPr>
          <w:rFonts w:hint="eastAsia" w:ascii="仿宋_GB2312" w:eastAsia="仿宋_GB2312"/>
          <w:bCs/>
          <w:sz w:val="32"/>
          <w:szCs w:val="32"/>
        </w:rPr>
        <w:t>负责本院队伍思想政治教育、内宣及各类培训工作；负责机关党的建设；负责干部管理权限内法院人员的任免调配、考核奖励、工资福利、编制职数等人事管理事项；负责本院部门绩效考核工作；负责表彰奖励工作；负责退休干部管理服务工作；负责人民陪审员管理工作；负责法官、审判辅助人员履职安全保障的日常工作。</w:t>
      </w:r>
    </w:p>
    <w:p>
      <w:pPr>
        <w:snapToGrid w:val="0"/>
        <w:spacing w:line="540" w:lineRule="exact"/>
        <w:ind w:firstLine="630" w:firstLineChars="196"/>
        <w:rPr>
          <w:rFonts w:hint="eastAsia" w:ascii="仿宋_GB2312" w:eastAsia="仿宋_GB2312"/>
          <w:bCs/>
          <w:sz w:val="32"/>
          <w:szCs w:val="32"/>
        </w:rPr>
      </w:pPr>
      <w:r>
        <w:rPr>
          <w:rStyle w:val="11"/>
          <w:rFonts w:hint="eastAsia" w:ascii="仿宋_GB2312" w:hAnsi="仿宋_GB2312" w:eastAsia="仿宋_GB2312" w:cs="仿宋_GB2312"/>
          <w:b/>
          <w:bCs/>
          <w:color w:val="000000"/>
          <w:sz w:val="32"/>
          <w:szCs w:val="32"/>
          <w:shd w:val="clear" w:color="auto" w:fill="FFFFFF"/>
          <w:lang w:val="en-US" w:eastAsia="zh-CN"/>
        </w:rPr>
        <w:t xml:space="preserve">9.综合办公室 </w:t>
      </w:r>
      <w:r>
        <w:rPr>
          <w:rStyle w:val="11"/>
          <w:rFonts w:hint="eastAsia"/>
          <w:color w:val="000000"/>
          <w:sz w:val="32"/>
          <w:szCs w:val="32"/>
          <w:shd w:val="clear" w:color="auto" w:fill="FFFFFF"/>
        </w:rPr>
        <w:t xml:space="preserve"> </w:t>
      </w:r>
      <w:r>
        <w:rPr>
          <w:rFonts w:hint="eastAsia" w:ascii="仿宋_GB2312" w:eastAsia="仿宋_GB2312"/>
          <w:bCs/>
          <w:sz w:val="32"/>
          <w:szCs w:val="32"/>
        </w:rPr>
        <w:t>协助领导组织、协调、处理司法公务；负责文秘、信息、宣传、机要、档案、保密等工作；负责院长批示件和本院重大工作部署的督查督办工作；负责院长办公会议等重要会议的组织安排；负责综合性会议组织工作，起草相关文件；负责新闻发布事项；负责与人大代表和政协委员的联络工作，并督办人大代表建议和政协委员提案。</w:t>
      </w:r>
    </w:p>
    <w:p>
      <w:pPr>
        <w:snapToGrid w:val="0"/>
        <w:spacing w:line="540" w:lineRule="exact"/>
        <w:ind w:firstLine="630" w:firstLineChars="196"/>
        <w:rPr>
          <w:color w:val="000000"/>
          <w:sz w:val="32"/>
          <w:szCs w:val="32"/>
          <w:shd w:val="clear" w:color="auto" w:fill="FFFFFF"/>
        </w:rPr>
      </w:pPr>
      <w:r>
        <w:rPr>
          <w:rStyle w:val="11"/>
          <w:rFonts w:hint="eastAsia" w:ascii="仿宋_GB2312" w:hAnsi="仿宋_GB2312" w:eastAsia="仿宋_GB2312" w:cs="仿宋_GB2312"/>
          <w:b/>
          <w:bCs/>
          <w:color w:val="000000"/>
          <w:sz w:val="32"/>
          <w:szCs w:val="32"/>
          <w:shd w:val="clear" w:color="auto" w:fill="FFFFFF"/>
          <w:lang w:val="en-US" w:eastAsia="zh-CN"/>
        </w:rPr>
        <w:t xml:space="preserve">10.审判管理办公室  </w:t>
      </w:r>
      <w:r>
        <w:rPr>
          <w:rFonts w:hint="eastAsia" w:ascii="仿宋_GB2312" w:eastAsia="仿宋_GB2312"/>
          <w:bCs/>
          <w:sz w:val="32"/>
          <w:szCs w:val="32"/>
        </w:rPr>
        <w:t>负责审理各类申诉复查案件以及对本院案件的审理、执行进行实时监测、分析、统计，组织庭审评查，建立动态监督机制；统一实施审判、执行流程管理；建立、管理法官业绩档案；处理其他审判管理相关工作。负责本院审判委员会的日常事务工作。负责经费预算、管理使用工作；负责本院基本建设工作；负责车辆及固定资产管理使用；负责本院后勤服务保障工作；负责对物业公司的管理和监督。</w:t>
      </w:r>
    </w:p>
    <w:p>
      <w:pPr>
        <w:snapToGrid w:val="0"/>
        <w:spacing w:line="540" w:lineRule="exact"/>
        <w:ind w:firstLine="630" w:firstLineChars="196"/>
        <w:rPr>
          <w:color w:val="000000"/>
          <w:sz w:val="32"/>
          <w:szCs w:val="32"/>
          <w:shd w:val="clear" w:color="auto" w:fill="FFFFFF"/>
        </w:rPr>
      </w:pPr>
      <w:r>
        <w:rPr>
          <w:rStyle w:val="11"/>
          <w:rFonts w:hint="eastAsia" w:ascii="仿宋_GB2312" w:hAnsi="仿宋_GB2312" w:eastAsia="仿宋_GB2312" w:cs="仿宋_GB2312"/>
          <w:b/>
          <w:bCs/>
          <w:color w:val="000000"/>
          <w:sz w:val="32"/>
          <w:szCs w:val="32"/>
          <w:shd w:val="clear" w:color="auto" w:fill="FFFFFF"/>
          <w:lang w:val="en-US" w:eastAsia="zh-CN"/>
        </w:rPr>
        <w:t>11.司法警察大队 </w:t>
      </w:r>
      <w:r>
        <w:rPr>
          <w:rFonts w:hint="eastAsia"/>
          <w:color w:val="000000"/>
          <w:sz w:val="32"/>
          <w:szCs w:val="32"/>
          <w:shd w:val="clear" w:color="auto" w:fill="FFFFFF"/>
        </w:rPr>
        <w:t>　</w:t>
      </w:r>
      <w:r>
        <w:rPr>
          <w:rFonts w:hint="eastAsia" w:ascii="仿宋_GB2312" w:eastAsia="仿宋_GB2312"/>
          <w:bCs/>
          <w:sz w:val="32"/>
          <w:szCs w:val="32"/>
        </w:rPr>
        <w:t>履行司法警察警务职责，负责警卫、值庭、看管、押解犯罪嫌疑人、被告人、送达法律文书，配合审判庭和执行局有关事项，执行强制措施；维护本院机关秩序；组织法警业务技能培训；办理其他工作事项。</w:t>
      </w:r>
    </w:p>
    <w:p>
      <w:pPr>
        <w:snapToGrid w:val="0"/>
        <w:spacing w:line="540" w:lineRule="exact"/>
        <w:ind w:firstLine="630" w:firstLineChars="196"/>
        <w:rPr>
          <w:color w:val="000000"/>
          <w:sz w:val="32"/>
          <w:szCs w:val="32"/>
          <w:shd w:val="clear" w:color="auto" w:fill="FFFFFF"/>
        </w:rPr>
      </w:pPr>
      <w:r>
        <w:rPr>
          <w:rStyle w:val="11"/>
          <w:rFonts w:hint="eastAsia" w:ascii="仿宋_GB2312" w:hAnsi="仿宋_GB2312" w:eastAsia="仿宋_GB2312" w:cs="仿宋_GB2312"/>
          <w:b/>
          <w:bCs/>
          <w:color w:val="000000"/>
          <w:sz w:val="32"/>
          <w:szCs w:val="32"/>
          <w:shd w:val="clear" w:color="auto" w:fill="FFFFFF"/>
          <w:lang w:val="en-US" w:eastAsia="zh-CN"/>
        </w:rPr>
        <w:t>12.南城人民法庭 </w:t>
      </w:r>
      <w:r>
        <w:rPr>
          <w:rFonts w:hint="eastAsia"/>
          <w:color w:val="000000"/>
          <w:sz w:val="32"/>
          <w:szCs w:val="32"/>
          <w:shd w:val="clear" w:color="auto" w:fill="FFFFFF"/>
        </w:rPr>
        <w:t>　</w:t>
      </w:r>
      <w:r>
        <w:rPr>
          <w:rFonts w:hint="eastAsia" w:ascii="仿宋_GB2312" w:eastAsia="仿宋_GB2312"/>
          <w:bCs/>
          <w:sz w:val="32"/>
          <w:szCs w:val="32"/>
        </w:rPr>
        <w:t>依法办理本辖区范围的民事、经济纠纷案件、刑事自诉案件等各类案件。办理其他有关工作事项。</w:t>
      </w:r>
    </w:p>
    <w:p>
      <w:pPr>
        <w:snapToGrid w:val="0"/>
        <w:spacing w:line="540" w:lineRule="exact"/>
        <w:ind w:firstLine="630" w:firstLineChars="196"/>
        <w:rPr>
          <w:rFonts w:ascii="仿宋_GB2312" w:eastAsia="仿宋_GB2312"/>
          <w:bCs/>
          <w:sz w:val="32"/>
          <w:szCs w:val="32"/>
        </w:rPr>
      </w:pPr>
      <w:r>
        <w:rPr>
          <w:rStyle w:val="11"/>
          <w:rFonts w:hint="eastAsia" w:ascii="仿宋_GB2312" w:hAnsi="仿宋_GB2312" w:eastAsia="仿宋_GB2312" w:cs="仿宋_GB2312"/>
          <w:b/>
          <w:bCs/>
          <w:color w:val="000000"/>
          <w:sz w:val="32"/>
          <w:szCs w:val="32"/>
          <w:shd w:val="clear" w:color="auto" w:fill="FFFFFF"/>
          <w:lang w:val="en-US" w:eastAsia="zh-CN"/>
        </w:rPr>
        <w:t>13.碧湖人民法庭</w:t>
      </w:r>
      <w:r>
        <w:rPr>
          <w:rFonts w:hint="eastAsia"/>
          <w:color w:val="000000"/>
          <w:sz w:val="32"/>
          <w:szCs w:val="32"/>
          <w:shd w:val="clear" w:color="auto" w:fill="FFFFFF"/>
        </w:rPr>
        <w:t>　</w:t>
      </w:r>
      <w:r>
        <w:rPr>
          <w:rFonts w:hint="eastAsia" w:ascii="仿宋_GB2312" w:eastAsia="仿宋_GB2312"/>
          <w:bCs/>
          <w:sz w:val="32"/>
          <w:szCs w:val="32"/>
        </w:rPr>
        <w:t>依法办理本辖区范围的民事、经济纠纷案件、刑事自诉案件等各类案件。办理其他有关工作事项。</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（二）单位机构设置情况</w:t>
      </w:r>
    </w:p>
    <w:p>
      <w:pPr>
        <w:pStyle w:val="6"/>
        <w:keepNext w:val="0"/>
        <w:keepLines w:val="0"/>
        <w:widowControl/>
        <w:suppressLineNumbers w:val="0"/>
        <w:spacing w:line="555" w:lineRule="atLeast"/>
        <w:ind w:left="0" w:firstLine="630"/>
        <w:rPr>
          <w:rFonts w:hint="eastAsia" w:ascii="仿宋_GB2312" w:hAnsi="Times New Roman" w:eastAsia="仿宋_GB2312" w:cs="Times New Roman"/>
          <w:bCs/>
          <w:kern w:val="2"/>
          <w:sz w:val="32"/>
          <w:szCs w:val="32"/>
          <w:lang w:val="en-US" w:eastAsia="zh-CN" w:bidi="ar-SA"/>
        </w:rPr>
      </w:pPr>
      <w:r>
        <w:rPr>
          <w:rFonts w:hint="eastAsia" w:ascii="仿宋_GB2312" w:eastAsia="仿宋_GB2312" w:cs="Times New Roman"/>
          <w:bCs/>
          <w:kern w:val="2"/>
          <w:sz w:val="32"/>
          <w:szCs w:val="32"/>
          <w:lang w:val="en-US" w:eastAsia="zh-CN" w:bidi="ar-SA"/>
        </w:rPr>
        <w:t>从预算单位构成看，丽水市</w:t>
      </w:r>
      <w:r>
        <w:rPr>
          <w:rFonts w:hint="eastAsia" w:ascii="仿宋_GB2312" w:hAnsi="Times New Roman" w:eastAsia="仿宋_GB2312" w:cs="Times New Roman"/>
          <w:bCs/>
          <w:kern w:val="2"/>
          <w:sz w:val="32"/>
          <w:szCs w:val="32"/>
          <w:lang w:val="en-US" w:eastAsia="zh-CN" w:bidi="ar-SA"/>
        </w:rPr>
        <w:t>莲都区人民法院</w:t>
      </w:r>
      <w:r>
        <w:rPr>
          <w:rFonts w:hint="eastAsia" w:ascii="仿宋_GB2312" w:eastAsia="仿宋_GB2312" w:cs="Times New Roman"/>
          <w:bCs/>
          <w:kern w:val="2"/>
          <w:sz w:val="32"/>
          <w:szCs w:val="32"/>
          <w:lang w:val="en-US" w:eastAsia="zh-CN" w:bidi="ar-SA"/>
        </w:rPr>
        <w:t>（本级）预算包括：</w:t>
      </w:r>
      <w:r>
        <w:rPr>
          <w:rStyle w:val="11"/>
          <w:rFonts w:hint="eastAsia" w:ascii="仿宋_GB2312" w:hAnsi="仿宋_GB2312" w:eastAsia="仿宋_GB2312" w:cs="仿宋_GB2312"/>
          <w:b w:val="0"/>
          <w:bCs w:val="0"/>
          <w:color w:val="000000"/>
          <w:sz w:val="32"/>
          <w:szCs w:val="32"/>
          <w:shd w:val="clear" w:color="auto" w:fill="FFFFFF"/>
        </w:rPr>
        <w:t>立案庭（诉讼服务中心）</w:t>
      </w:r>
      <w:r>
        <w:rPr>
          <w:rStyle w:val="11"/>
          <w:rFonts w:hint="eastAsia" w:ascii="仿宋_GB2312" w:hAnsi="仿宋_GB2312" w:eastAsia="仿宋_GB2312" w:cs="仿宋_GB2312"/>
          <w:b w:val="0"/>
          <w:bCs w:val="0"/>
          <w:color w:val="000000"/>
          <w:sz w:val="32"/>
          <w:szCs w:val="32"/>
          <w:shd w:val="clear" w:color="auto" w:fill="FFFFFF"/>
          <w:lang w:eastAsia="zh-CN"/>
        </w:rPr>
        <w:t>、</w:t>
      </w:r>
      <w:r>
        <w:rPr>
          <w:rStyle w:val="11"/>
          <w:rFonts w:hint="eastAsia" w:ascii="仿宋_GB2312" w:hAnsi="仿宋_GB2312" w:eastAsia="仿宋_GB2312" w:cs="仿宋_GB2312"/>
          <w:b w:val="0"/>
          <w:bCs w:val="0"/>
          <w:color w:val="000000"/>
          <w:sz w:val="32"/>
          <w:szCs w:val="32"/>
          <w:shd w:val="clear" w:color="auto" w:fill="FFFFFF"/>
          <w:lang w:val="en-US" w:eastAsia="zh-CN"/>
        </w:rPr>
        <w:t>刑事审判庭、民事审判一庭、民事审判二庭、民事审判三庭、行政审判庭（综合审判庭）、执行局、政治部（机关党委）、综合办公室、审判管理办公室、司法警察大队、南城人民法庭、碧湖人民法庭等预算</w:t>
      </w:r>
      <w:r>
        <w:rPr>
          <w:rFonts w:hint="eastAsia" w:ascii="仿宋_GB2312" w:hAnsi="Times New Roman" w:eastAsia="仿宋_GB2312" w:cs="Times New Roman"/>
          <w:b w:val="0"/>
          <w:bCs w:val="0"/>
          <w:kern w:val="2"/>
          <w:sz w:val="32"/>
          <w:szCs w:val="32"/>
          <w:lang w:val="en-US" w:eastAsia="zh-CN" w:bidi="ar-SA"/>
        </w:rPr>
        <w:t>，</w:t>
      </w:r>
      <w:r>
        <w:rPr>
          <w:rFonts w:hint="eastAsia" w:ascii="仿宋_GB2312" w:hAnsi="Times New Roman" w:eastAsia="仿宋_GB2312" w:cs="Times New Roman"/>
          <w:bCs/>
          <w:kern w:val="2"/>
          <w:sz w:val="32"/>
          <w:szCs w:val="32"/>
          <w:lang w:val="en-US" w:eastAsia="zh-CN" w:bidi="ar-SA"/>
        </w:rPr>
        <w:t>正式在职人员112人，劳务派遣人员70人，退休65人。</w:t>
      </w:r>
    </w:p>
    <w:p>
      <w:pPr>
        <w:snapToGrid w:val="0"/>
        <w:spacing w:line="540" w:lineRule="exact"/>
        <w:ind w:firstLine="640"/>
        <w:rPr>
          <w:rFonts w:hint="eastAsia" w:ascii="仿宋_GB2312" w:eastAsia="仿宋_GB2312"/>
          <w:color w:val="000000"/>
          <w:sz w:val="30"/>
          <w:szCs w:val="30"/>
        </w:rPr>
      </w:pPr>
      <w:r>
        <w:rPr>
          <w:rStyle w:val="11"/>
          <w:rFonts w:hint="eastAsia" w:ascii="黑体" w:eastAsia="黑体"/>
          <w:b w:val="0"/>
          <w:color w:val="000000"/>
          <w:sz w:val="32"/>
          <w:szCs w:val="32"/>
        </w:rPr>
        <w:t>二、</w:t>
      </w:r>
      <w:r>
        <w:rPr>
          <w:rStyle w:val="11"/>
          <w:rFonts w:hint="eastAsia" w:ascii="黑体" w:eastAsia="黑体"/>
          <w:b w:val="0"/>
          <w:color w:val="000000"/>
          <w:sz w:val="32"/>
          <w:szCs w:val="32"/>
          <w:highlight w:val="none"/>
          <w:lang w:val="en-US" w:eastAsia="zh-CN"/>
        </w:rPr>
        <w:t>2022</w:t>
      </w:r>
      <w:r>
        <w:rPr>
          <w:rStyle w:val="11"/>
          <w:rFonts w:hint="eastAsia" w:ascii="黑体" w:eastAsia="黑体"/>
          <w:b w:val="0"/>
          <w:color w:val="000000"/>
          <w:sz w:val="32"/>
          <w:szCs w:val="32"/>
          <w:highlight w:val="none"/>
        </w:rPr>
        <w:t>年</w:t>
      </w:r>
      <w:r>
        <w:rPr>
          <w:rStyle w:val="11"/>
          <w:rFonts w:hint="eastAsia" w:ascii="黑体" w:eastAsia="黑体"/>
          <w:b w:val="0"/>
          <w:color w:val="000000"/>
          <w:sz w:val="32"/>
          <w:szCs w:val="32"/>
          <w:highlight w:val="none"/>
          <w:lang w:val="en-US" w:eastAsia="zh-CN"/>
        </w:rPr>
        <w:t>莲都区人民法院</w:t>
      </w:r>
      <w:r>
        <w:rPr>
          <w:rStyle w:val="11"/>
          <w:rFonts w:hint="eastAsia" w:ascii="黑体" w:eastAsia="黑体"/>
          <w:b w:val="0"/>
          <w:color w:val="000000"/>
          <w:sz w:val="32"/>
          <w:szCs w:val="32"/>
          <w:highlight w:val="none"/>
        </w:rPr>
        <w:t>预算安排情况说明</w:t>
      </w:r>
      <w:r>
        <w:rPr>
          <w:rFonts w:hint="eastAsia" w:ascii="仿宋_GB2312" w:eastAsia="仿宋_GB2312"/>
          <w:color w:val="000000"/>
          <w:sz w:val="30"/>
          <w:szCs w:val="30"/>
        </w:rPr>
        <w:t>　　</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（一）关于莲都区人民法院202</w:t>
      </w:r>
      <w:r>
        <w:rPr>
          <w:rFonts w:hint="eastAsia" w:ascii="楷体_GB2312" w:hAnsi="楷体_GB2312" w:eastAsia="楷体_GB2312" w:cs="楷体_GB2312"/>
          <w:b w:val="0"/>
          <w:bCs/>
          <w:sz w:val="32"/>
          <w:szCs w:val="32"/>
          <w:highlight w:val="none"/>
          <w:lang w:val="en-US" w:eastAsia="zh-CN"/>
        </w:rPr>
        <w:t>2</w:t>
      </w:r>
      <w:r>
        <w:rPr>
          <w:rFonts w:hint="eastAsia" w:ascii="楷体_GB2312" w:hAnsi="楷体_GB2312" w:eastAsia="楷体_GB2312" w:cs="楷体_GB2312"/>
          <w:b w:val="0"/>
          <w:bCs/>
          <w:sz w:val="32"/>
          <w:szCs w:val="32"/>
          <w:highlight w:val="none"/>
          <w:lang w:eastAsia="zh-CN"/>
        </w:rPr>
        <w:t>年收支预算情况的总体说明</w:t>
      </w:r>
    </w:p>
    <w:p>
      <w:pPr>
        <w:snapToGrid w:val="0"/>
        <w:spacing w:line="540" w:lineRule="exact"/>
        <w:ind w:firstLine="641"/>
        <w:rPr>
          <w:rFonts w:hint="eastAsia" w:ascii="仿宋_GB2312" w:eastAsia="仿宋_GB2312"/>
          <w:bCs/>
          <w:color w:val="auto"/>
          <w:sz w:val="32"/>
          <w:szCs w:val="32"/>
        </w:rPr>
      </w:pPr>
      <w:r>
        <w:rPr>
          <w:rFonts w:hint="eastAsia" w:ascii="仿宋_GB2312" w:eastAsia="仿宋_GB2312"/>
          <w:bCs/>
          <w:sz w:val="32"/>
          <w:szCs w:val="32"/>
        </w:rPr>
        <w:t>按照综合预算的原则，莲都</w:t>
      </w:r>
      <w:r>
        <w:rPr>
          <w:rFonts w:hint="eastAsia" w:ascii="仿宋_GB2312" w:eastAsia="仿宋_GB2312"/>
          <w:bCs/>
          <w:sz w:val="32"/>
          <w:szCs w:val="32"/>
          <w:lang w:eastAsia="zh-CN"/>
        </w:rPr>
        <w:t>区</w:t>
      </w:r>
      <w:r>
        <w:rPr>
          <w:rFonts w:hint="eastAsia" w:ascii="仿宋_GB2312" w:eastAsia="仿宋_GB2312"/>
          <w:bCs/>
          <w:sz w:val="32"/>
          <w:szCs w:val="32"/>
        </w:rPr>
        <w:t>人民法院所有收入和支出均纳入</w:t>
      </w:r>
      <w:r>
        <w:rPr>
          <w:rFonts w:hint="eastAsia" w:ascii="仿宋_GB2312" w:eastAsia="仿宋_GB2312"/>
          <w:bCs/>
          <w:sz w:val="32"/>
          <w:szCs w:val="32"/>
          <w:lang w:eastAsia="zh-CN"/>
        </w:rPr>
        <w:t>单位</w:t>
      </w:r>
      <w:r>
        <w:rPr>
          <w:rFonts w:hint="eastAsia" w:ascii="仿宋_GB2312" w:eastAsia="仿宋_GB2312"/>
          <w:bCs/>
          <w:sz w:val="32"/>
          <w:szCs w:val="32"/>
        </w:rPr>
        <w:t>预算管理。收入包括：一般公共预算拨款收入；支出包括：公共安全支出、社会保障和就业支出、卫生健康支出、住房保障支出。</w:t>
      </w:r>
      <w:r>
        <w:rPr>
          <w:rFonts w:hint="eastAsia" w:ascii="仿宋_GB2312" w:eastAsia="仿宋_GB2312"/>
          <w:bCs/>
          <w:color w:val="auto"/>
          <w:sz w:val="32"/>
          <w:szCs w:val="32"/>
        </w:rPr>
        <w:t>莲都</w:t>
      </w:r>
      <w:r>
        <w:rPr>
          <w:rFonts w:hint="eastAsia" w:ascii="仿宋_GB2312" w:eastAsia="仿宋_GB2312"/>
          <w:bCs/>
          <w:color w:val="auto"/>
          <w:sz w:val="32"/>
          <w:szCs w:val="32"/>
          <w:lang w:eastAsia="zh-CN"/>
        </w:rPr>
        <w:t>区</w:t>
      </w:r>
      <w:r>
        <w:rPr>
          <w:rFonts w:hint="eastAsia" w:ascii="仿宋_GB2312" w:eastAsia="仿宋_GB2312"/>
          <w:bCs/>
          <w:color w:val="auto"/>
          <w:sz w:val="32"/>
          <w:szCs w:val="32"/>
        </w:rPr>
        <w:t>人民法院202</w:t>
      </w:r>
      <w:r>
        <w:rPr>
          <w:rFonts w:hint="eastAsia" w:ascii="仿宋_GB2312" w:eastAsia="仿宋_GB2312"/>
          <w:bCs/>
          <w:color w:val="auto"/>
          <w:sz w:val="32"/>
          <w:szCs w:val="32"/>
          <w:lang w:val="en-US" w:eastAsia="zh-CN"/>
        </w:rPr>
        <w:t>2</w:t>
      </w:r>
      <w:r>
        <w:rPr>
          <w:rFonts w:hint="eastAsia" w:ascii="仿宋_GB2312" w:eastAsia="仿宋_GB2312"/>
          <w:bCs/>
          <w:color w:val="auto"/>
          <w:sz w:val="32"/>
          <w:szCs w:val="32"/>
        </w:rPr>
        <w:t>年收支总预算</w:t>
      </w:r>
      <w:r>
        <w:rPr>
          <w:rFonts w:hint="eastAsia" w:ascii="仿宋_GB2312" w:eastAsia="仿宋_GB2312"/>
          <w:bCs/>
          <w:color w:val="auto"/>
          <w:sz w:val="32"/>
          <w:szCs w:val="32"/>
          <w:lang w:val="en-US" w:eastAsia="zh-CN"/>
        </w:rPr>
        <w:t>5982.81</w:t>
      </w:r>
      <w:r>
        <w:rPr>
          <w:rFonts w:hint="eastAsia" w:ascii="仿宋_GB2312" w:eastAsia="仿宋_GB2312"/>
          <w:bCs/>
          <w:color w:val="auto"/>
          <w:sz w:val="32"/>
          <w:szCs w:val="32"/>
        </w:rPr>
        <w:t>万元。</w:t>
      </w:r>
    </w:p>
    <w:p>
      <w:pPr>
        <w:snapToGrid w:val="0"/>
        <w:spacing w:line="54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（二）关于莲都</w:t>
      </w:r>
      <w:r>
        <w:rPr>
          <w:rFonts w:hint="eastAsia" w:ascii="楷体_GB2312" w:hAnsi="楷体_GB2312" w:eastAsia="楷体_GB2312" w:cs="楷体_GB2312"/>
          <w:bCs/>
          <w:color w:val="000000"/>
          <w:sz w:val="32"/>
          <w:szCs w:val="32"/>
          <w:lang w:eastAsia="zh-CN"/>
        </w:rPr>
        <w:t>区</w:t>
      </w:r>
      <w:r>
        <w:rPr>
          <w:rFonts w:hint="eastAsia" w:ascii="楷体_GB2312" w:hAnsi="楷体_GB2312" w:eastAsia="楷体_GB2312" w:cs="楷体_GB2312"/>
          <w:bCs/>
          <w:color w:val="000000"/>
          <w:sz w:val="32"/>
          <w:szCs w:val="32"/>
        </w:rPr>
        <w:t>人民法院20</w:t>
      </w:r>
      <w:r>
        <w:rPr>
          <w:rFonts w:hint="eastAsia" w:ascii="楷体_GB2312" w:hAnsi="楷体_GB2312" w:eastAsia="楷体_GB2312" w:cs="楷体_GB2312"/>
          <w:bCs/>
          <w:color w:val="000000"/>
          <w:sz w:val="32"/>
          <w:szCs w:val="32"/>
          <w:lang w:val="en-US" w:eastAsia="zh-CN"/>
        </w:rPr>
        <w:t>22</w:t>
      </w:r>
      <w:r>
        <w:rPr>
          <w:rFonts w:hint="eastAsia" w:ascii="楷体_GB2312" w:hAnsi="楷体_GB2312" w:eastAsia="楷体_GB2312" w:cs="楷体_GB2312"/>
          <w:bCs/>
          <w:color w:val="000000"/>
          <w:sz w:val="32"/>
          <w:szCs w:val="32"/>
        </w:rPr>
        <w:t>年收入预算情况说明</w:t>
      </w:r>
    </w:p>
    <w:p>
      <w:pPr>
        <w:snapToGrid w:val="0"/>
        <w:spacing w:line="540" w:lineRule="exact"/>
        <w:ind w:firstLine="642"/>
        <w:rPr>
          <w:rFonts w:hint="eastAsia" w:ascii="仿宋_GB2312" w:eastAsia="仿宋_GB2312"/>
          <w:color w:val="auto"/>
          <w:sz w:val="32"/>
          <w:szCs w:val="32"/>
        </w:rPr>
      </w:pPr>
      <w:r>
        <w:rPr>
          <w:rFonts w:hint="eastAsia" w:ascii="仿宋_GB2312" w:eastAsia="仿宋_GB2312"/>
          <w:color w:val="auto"/>
          <w:sz w:val="32"/>
          <w:szCs w:val="32"/>
        </w:rPr>
        <w:t>莲都</w:t>
      </w:r>
      <w:r>
        <w:rPr>
          <w:rFonts w:hint="eastAsia" w:ascii="仿宋_GB2312" w:eastAsia="仿宋_GB2312"/>
          <w:color w:val="auto"/>
          <w:sz w:val="32"/>
          <w:szCs w:val="32"/>
          <w:lang w:eastAsia="zh-CN"/>
        </w:rPr>
        <w:t>区</w:t>
      </w:r>
      <w:r>
        <w:rPr>
          <w:rFonts w:hint="eastAsia" w:ascii="仿宋_GB2312" w:eastAsia="仿宋_GB2312"/>
          <w:color w:val="auto"/>
          <w:sz w:val="32"/>
          <w:szCs w:val="32"/>
        </w:rPr>
        <w:t>人民法院202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年收入预算</w:t>
      </w:r>
      <w:r>
        <w:rPr>
          <w:rFonts w:hint="eastAsia" w:ascii="仿宋_GB2312" w:eastAsia="仿宋_GB2312"/>
          <w:color w:val="auto"/>
          <w:sz w:val="32"/>
          <w:szCs w:val="32"/>
          <w:lang w:val="en-US" w:eastAsia="zh-CN"/>
        </w:rPr>
        <w:t>5982.81</w:t>
      </w:r>
      <w:r>
        <w:rPr>
          <w:rFonts w:hint="eastAsia" w:ascii="仿宋_GB2312" w:eastAsia="仿宋_GB2312"/>
          <w:color w:val="auto"/>
          <w:sz w:val="32"/>
          <w:szCs w:val="32"/>
        </w:rPr>
        <w:t>万元，</w:t>
      </w:r>
      <w:r>
        <w:rPr>
          <w:rFonts w:hint="eastAsia" w:ascii="仿宋_GB2312" w:eastAsia="仿宋_GB2312"/>
          <w:color w:val="auto"/>
          <w:sz w:val="32"/>
          <w:szCs w:val="32"/>
          <w:lang w:eastAsia="zh-CN"/>
        </w:rPr>
        <w:t>比上年执行数减少</w:t>
      </w:r>
      <w:r>
        <w:rPr>
          <w:rFonts w:hint="eastAsia" w:ascii="仿宋_GB2312" w:eastAsia="仿宋_GB2312"/>
          <w:color w:val="auto"/>
          <w:sz w:val="32"/>
          <w:szCs w:val="32"/>
          <w:lang w:val="en-US" w:eastAsia="zh-CN"/>
        </w:rPr>
        <w:t>99.01万元，下降1.63%，主要原因为项目经费和公车购置费用安排减少</w:t>
      </w:r>
      <w:r>
        <w:rPr>
          <w:rFonts w:hint="eastAsia" w:ascii="仿宋_GB2312" w:eastAsia="仿宋_GB2312"/>
          <w:color w:val="auto"/>
          <w:sz w:val="32"/>
          <w:szCs w:val="32"/>
        </w:rPr>
        <w:t>。</w:t>
      </w:r>
    </w:p>
    <w:p>
      <w:pPr>
        <w:pStyle w:val="2"/>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其中：一般公共预算拨款收入</w:t>
      </w:r>
      <w:r>
        <w:rPr>
          <w:rFonts w:hint="eastAsia" w:hAnsi="Times New Roman" w:cs="Times New Roman"/>
          <w:color w:val="auto"/>
          <w:kern w:val="2"/>
          <w:sz w:val="32"/>
          <w:szCs w:val="32"/>
          <w:lang w:val="en-US" w:eastAsia="zh-CN" w:bidi="ar-SA"/>
        </w:rPr>
        <w:t>5982.81</w:t>
      </w:r>
      <w:r>
        <w:rPr>
          <w:rFonts w:hint="eastAsia" w:ascii="仿宋_GB2312" w:hAnsi="Times New Roman" w:eastAsia="仿宋_GB2312" w:cs="Times New Roman"/>
          <w:color w:val="auto"/>
          <w:kern w:val="2"/>
          <w:sz w:val="32"/>
          <w:szCs w:val="32"/>
          <w:lang w:val="en-US" w:eastAsia="zh-CN" w:bidi="ar-SA"/>
        </w:rPr>
        <w:t>万元，占</w:t>
      </w:r>
      <w:r>
        <w:rPr>
          <w:rFonts w:hint="eastAsia" w:hAnsi="Times New Roman" w:cs="Times New Roman"/>
          <w:color w:val="auto"/>
          <w:kern w:val="2"/>
          <w:sz w:val="32"/>
          <w:szCs w:val="32"/>
          <w:lang w:val="en-US" w:eastAsia="zh-CN" w:bidi="ar-SA"/>
        </w:rPr>
        <w:t>100</w:t>
      </w:r>
      <w:r>
        <w:rPr>
          <w:rFonts w:hint="eastAsia" w:ascii="仿宋_GB2312" w:hAnsi="Times New Roman" w:eastAsia="仿宋_GB2312" w:cs="Times New Roman"/>
          <w:color w:val="auto"/>
          <w:kern w:val="2"/>
          <w:sz w:val="32"/>
          <w:szCs w:val="32"/>
          <w:lang w:val="en-US" w:eastAsia="zh-CN" w:bidi="ar-SA"/>
        </w:rPr>
        <w:t>%。</w:t>
      </w:r>
    </w:p>
    <w:p>
      <w:pPr>
        <w:snapToGrid w:val="0"/>
        <w:spacing w:line="540" w:lineRule="exact"/>
        <w:ind w:firstLine="642"/>
        <w:rPr>
          <w:rFonts w:ascii="仿宋_GB2312" w:eastAsia="仿宋_GB2312"/>
          <w:color w:val="auto"/>
          <w:sz w:val="32"/>
          <w:szCs w:val="32"/>
        </w:rPr>
      </w:pPr>
      <w:r>
        <w:rPr>
          <w:rFonts w:hint="eastAsia" w:ascii="楷体_GB2312" w:hAnsi="楷体_GB2312" w:eastAsia="楷体_GB2312" w:cs="楷体_GB2312"/>
          <w:bCs/>
          <w:color w:val="000000"/>
          <w:sz w:val="32"/>
          <w:szCs w:val="32"/>
        </w:rPr>
        <w:t>（三）关于莲都</w:t>
      </w:r>
      <w:r>
        <w:rPr>
          <w:rFonts w:hint="eastAsia" w:ascii="楷体_GB2312" w:hAnsi="楷体_GB2312" w:eastAsia="楷体_GB2312" w:cs="楷体_GB2312"/>
          <w:bCs/>
          <w:color w:val="000000"/>
          <w:sz w:val="32"/>
          <w:szCs w:val="32"/>
          <w:lang w:eastAsia="zh-CN"/>
        </w:rPr>
        <w:t>区</w:t>
      </w:r>
      <w:r>
        <w:rPr>
          <w:rFonts w:hint="eastAsia" w:ascii="楷体_GB2312" w:hAnsi="楷体_GB2312" w:eastAsia="楷体_GB2312" w:cs="楷体_GB2312"/>
          <w:bCs/>
          <w:color w:val="000000"/>
          <w:sz w:val="32"/>
          <w:szCs w:val="32"/>
        </w:rPr>
        <w:t>人民法院202</w:t>
      </w:r>
      <w:r>
        <w:rPr>
          <w:rFonts w:hint="eastAsia" w:ascii="楷体_GB2312" w:hAnsi="楷体_GB2312" w:eastAsia="楷体_GB2312" w:cs="楷体_GB2312"/>
          <w:bCs/>
          <w:color w:val="000000"/>
          <w:sz w:val="32"/>
          <w:szCs w:val="32"/>
          <w:lang w:val="en-US" w:eastAsia="zh-CN"/>
        </w:rPr>
        <w:t>2</w:t>
      </w:r>
      <w:r>
        <w:rPr>
          <w:rFonts w:hint="eastAsia" w:ascii="楷体_GB2312" w:hAnsi="楷体_GB2312" w:eastAsia="楷体_GB2312" w:cs="楷体_GB2312"/>
          <w:bCs/>
          <w:color w:val="000000"/>
          <w:sz w:val="32"/>
          <w:szCs w:val="32"/>
        </w:rPr>
        <w:t>年支出预算情况说明</w:t>
      </w:r>
      <w:r>
        <w:rPr>
          <w:rFonts w:hint="eastAsia" w:ascii="仿宋_GB2312" w:eastAsia="仿宋_GB2312"/>
          <w:bCs/>
          <w:color w:val="000000"/>
          <w:sz w:val="32"/>
          <w:szCs w:val="32"/>
        </w:rPr>
        <w:br w:type="textWrapping"/>
      </w:r>
      <w:r>
        <w:rPr>
          <w:rFonts w:hint="eastAsia" w:ascii="仿宋_GB2312" w:eastAsia="仿宋_GB2312"/>
          <w:color w:val="000000"/>
          <w:sz w:val="32"/>
          <w:szCs w:val="32"/>
        </w:rPr>
        <w:t>　</w:t>
      </w:r>
      <w:r>
        <w:rPr>
          <w:rFonts w:hint="eastAsia" w:ascii="仿宋_GB2312" w:eastAsia="仿宋_GB2312"/>
          <w:color w:val="auto"/>
          <w:sz w:val="32"/>
          <w:szCs w:val="32"/>
        </w:rPr>
        <w:t>　莲都</w:t>
      </w:r>
      <w:r>
        <w:rPr>
          <w:rFonts w:hint="eastAsia" w:ascii="仿宋_GB2312" w:eastAsia="仿宋_GB2312"/>
          <w:color w:val="auto"/>
          <w:sz w:val="32"/>
          <w:szCs w:val="32"/>
          <w:lang w:eastAsia="zh-CN"/>
        </w:rPr>
        <w:t>区</w:t>
      </w:r>
      <w:r>
        <w:rPr>
          <w:rFonts w:hint="eastAsia" w:ascii="仿宋_GB2312" w:eastAsia="仿宋_GB2312"/>
          <w:color w:val="auto"/>
          <w:sz w:val="32"/>
          <w:szCs w:val="32"/>
        </w:rPr>
        <w:t>人民法院20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年支出预算</w:t>
      </w:r>
      <w:r>
        <w:rPr>
          <w:rFonts w:hint="eastAsia" w:ascii="仿宋_GB2312" w:eastAsia="仿宋_GB2312"/>
          <w:color w:val="auto"/>
          <w:sz w:val="32"/>
          <w:szCs w:val="32"/>
          <w:lang w:val="en-US" w:eastAsia="zh-CN"/>
        </w:rPr>
        <w:t>5982.81</w:t>
      </w:r>
      <w:r>
        <w:rPr>
          <w:rFonts w:hint="eastAsia" w:ascii="仿宋_GB2312" w:eastAsia="仿宋_GB2312"/>
          <w:color w:val="auto"/>
          <w:sz w:val="32"/>
          <w:szCs w:val="32"/>
        </w:rPr>
        <w:t>万元</w:t>
      </w:r>
      <w:r>
        <w:rPr>
          <w:rFonts w:hint="eastAsia" w:ascii="仿宋_GB2312" w:eastAsia="仿宋_GB2312"/>
          <w:color w:val="auto"/>
          <w:sz w:val="32"/>
          <w:szCs w:val="32"/>
          <w:lang w:eastAsia="zh-CN"/>
        </w:rPr>
        <w:t>，比上年执行数减少</w:t>
      </w:r>
      <w:r>
        <w:rPr>
          <w:rFonts w:hint="eastAsia" w:ascii="仿宋_GB2312" w:eastAsia="仿宋_GB2312"/>
          <w:color w:val="auto"/>
          <w:sz w:val="32"/>
          <w:szCs w:val="32"/>
          <w:lang w:val="en-US" w:eastAsia="zh-CN"/>
        </w:rPr>
        <w:t>99.01万元，下降1.63%，主要原因为项目经费和公车购置费用安排减少</w:t>
      </w:r>
      <w:r>
        <w:rPr>
          <w:rFonts w:hint="eastAsia" w:ascii="仿宋_GB2312" w:eastAsia="仿宋_GB2312"/>
          <w:color w:val="auto"/>
          <w:sz w:val="32"/>
          <w:szCs w:val="32"/>
        </w:rPr>
        <w:t>。</w:t>
      </w:r>
    </w:p>
    <w:p>
      <w:pPr>
        <w:snapToGrid w:val="0"/>
        <w:spacing w:line="540" w:lineRule="exact"/>
        <w:ind w:firstLine="630"/>
        <w:rPr>
          <w:rFonts w:ascii="仿宋_GB2312" w:eastAsia="仿宋_GB2312"/>
          <w:color w:val="auto"/>
          <w:sz w:val="32"/>
          <w:szCs w:val="32"/>
        </w:rPr>
      </w:pPr>
      <w:r>
        <w:rPr>
          <w:rFonts w:hint="eastAsia" w:ascii="仿宋_GB2312" w:hAnsi="仿宋_GB2312" w:eastAsia="仿宋_GB2312" w:cs="仿宋_GB2312"/>
          <w:b/>
          <w:color w:val="000000"/>
          <w:sz w:val="32"/>
          <w:szCs w:val="32"/>
        </w:rPr>
        <w:t>1.按支出功能分类，</w:t>
      </w:r>
      <w:r>
        <w:rPr>
          <w:rFonts w:hint="eastAsia" w:ascii="仿宋_GB2312" w:eastAsia="仿宋_GB2312"/>
          <w:color w:val="auto"/>
          <w:sz w:val="32"/>
          <w:szCs w:val="32"/>
        </w:rPr>
        <w:t>公共安全支出</w:t>
      </w:r>
      <w:r>
        <w:rPr>
          <w:rFonts w:hint="eastAsia" w:ascii="仿宋_GB2312" w:eastAsia="仿宋_GB2312"/>
          <w:color w:val="auto"/>
          <w:sz w:val="32"/>
          <w:szCs w:val="32"/>
          <w:lang w:val="en-US" w:eastAsia="zh-CN"/>
        </w:rPr>
        <w:t>5060.98</w:t>
      </w:r>
      <w:r>
        <w:rPr>
          <w:rFonts w:hint="eastAsia" w:ascii="仿宋_GB2312" w:eastAsia="仿宋_GB2312"/>
          <w:color w:val="auto"/>
          <w:sz w:val="32"/>
          <w:szCs w:val="32"/>
        </w:rPr>
        <w:t>万元、社会保障和就业支出</w:t>
      </w:r>
      <w:r>
        <w:rPr>
          <w:rFonts w:hint="eastAsia" w:ascii="仿宋_GB2312" w:eastAsia="仿宋_GB2312"/>
          <w:color w:val="auto"/>
          <w:sz w:val="32"/>
          <w:szCs w:val="32"/>
          <w:lang w:val="en-US" w:eastAsia="zh-CN"/>
        </w:rPr>
        <w:t>387.07</w:t>
      </w:r>
      <w:r>
        <w:rPr>
          <w:rFonts w:hint="eastAsia" w:ascii="仿宋_GB2312" w:eastAsia="仿宋_GB2312"/>
          <w:color w:val="auto"/>
          <w:sz w:val="32"/>
          <w:szCs w:val="32"/>
        </w:rPr>
        <w:t>万元、卫生健康支出</w:t>
      </w:r>
      <w:r>
        <w:rPr>
          <w:rFonts w:hint="eastAsia" w:ascii="仿宋_GB2312" w:eastAsia="仿宋_GB2312"/>
          <w:color w:val="auto"/>
          <w:sz w:val="32"/>
          <w:szCs w:val="32"/>
          <w:lang w:val="en-US" w:eastAsia="zh-CN"/>
        </w:rPr>
        <w:t>225.92</w:t>
      </w:r>
      <w:r>
        <w:rPr>
          <w:rFonts w:hint="eastAsia" w:ascii="仿宋_GB2312" w:eastAsia="仿宋_GB2312"/>
          <w:color w:val="auto"/>
          <w:sz w:val="32"/>
          <w:szCs w:val="32"/>
        </w:rPr>
        <w:t>万元、住房保障支出</w:t>
      </w:r>
      <w:r>
        <w:rPr>
          <w:rFonts w:hint="eastAsia" w:ascii="仿宋_GB2312" w:eastAsia="仿宋_GB2312"/>
          <w:color w:val="auto"/>
          <w:sz w:val="32"/>
          <w:szCs w:val="32"/>
          <w:lang w:val="en-US" w:eastAsia="zh-CN"/>
        </w:rPr>
        <w:t>308.84</w:t>
      </w:r>
      <w:r>
        <w:rPr>
          <w:rFonts w:hint="eastAsia" w:ascii="仿宋_GB2312" w:eastAsia="仿宋_GB2312"/>
          <w:color w:val="auto"/>
          <w:sz w:val="32"/>
          <w:szCs w:val="32"/>
        </w:rPr>
        <w:t>万元。</w:t>
      </w:r>
    </w:p>
    <w:p>
      <w:pPr>
        <w:snapToGrid w:val="0"/>
        <w:spacing w:line="540" w:lineRule="exact"/>
        <w:ind w:firstLine="642"/>
        <w:rPr>
          <w:rFonts w:ascii="仿宋_GB2312" w:eastAsia="仿宋_GB2312"/>
          <w:color w:val="auto"/>
          <w:sz w:val="32"/>
          <w:szCs w:val="32"/>
        </w:rPr>
      </w:pPr>
      <w:r>
        <w:rPr>
          <w:rFonts w:hint="eastAsia" w:ascii="仿宋_GB2312" w:hAnsi="仿宋_GB2312" w:eastAsia="仿宋_GB2312" w:cs="仿宋_GB2312"/>
          <w:b/>
          <w:color w:val="000000"/>
          <w:sz w:val="32"/>
          <w:szCs w:val="32"/>
        </w:rPr>
        <w:t>2.按支出用途分类，</w:t>
      </w:r>
      <w:r>
        <w:rPr>
          <w:rFonts w:hint="eastAsia" w:ascii="仿宋_GB2312" w:eastAsia="仿宋_GB2312"/>
          <w:color w:val="auto"/>
          <w:sz w:val="32"/>
          <w:szCs w:val="32"/>
        </w:rPr>
        <w:t>包括人员支出</w:t>
      </w:r>
      <w:r>
        <w:rPr>
          <w:rFonts w:hint="eastAsia" w:ascii="仿宋_GB2312" w:eastAsia="仿宋_GB2312"/>
          <w:color w:val="auto"/>
          <w:sz w:val="32"/>
          <w:szCs w:val="32"/>
          <w:lang w:val="en-US" w:eastAsia="zh-CN"/>
        </w:rPr>
        <w:t>4245.02</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70.95</w:t>
      </w:r>
      <w:r>
        <w:rPr>
          <w:rFonts w:hint="eastAsia" w:ascii="仿宋_GB2312" w:eastAsia="仿宋_GB2312"/>
          <w:color w:val="auto"/>
          <w:sz w:val="32"/>
          <w:szCs w:val="32"/>
        </w:rPr>
        <w:t>%；日常公用支出</w:t>
      </w:r>
      <w:r>
        <w:rPr>
          <w:rFonts w:hint="eastAsia" w:ascii="仿宋_GB2312" w:eastAsia="仿宋_GB2312"/>
          <w:color w:val="auto"/>
          <w:sz w:val="32"/>
          <w:szCs w:val="32"/>
          <w:lang w:val="en-US" w:eastAsia="zh-CN"/>
        </w:rPr>
        <w:t>481.62</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8.05</w:t>
      </w:r>
      <w:r>
        <w:rPr>
          <w:rFonts w:hint="eastAsia" w:ascii="仿宋_GB2312" w:eastAsia="仿宋_GB2312"/>
          <w:color w:val="auto"/>
          <w:sz w:val="32"/>
          <w:szCs w:val="32"/>
        </w:rPr>
        <w:t>%；项目支出</w:t>
      </w:r>
      <w:r>
        <w:rPr>
          <w:rFonts w:hint="eastAsia" w:ascii="仿宋_GB2312" w:eastAsia="仿宋_GB2312"/>
          <w:color w:val="auto"/>
          <w:sz w:val="32"/>
          <w:szCs w:val="32"/>
          <w:lang w:val="en-US" w:eastAsia="zh-CN"/>
        </w:rPr>
        <w:t>1256.17</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w:t>
      </w:r>
    </w:p>
    <w:p>
      <w:pPr>
        <w:snapToGrid w:val="0"/>
        <w:spacing w:line="54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（四）关于莲都</w:t>
      </w:r>
      <w:r>
        <w:rPr>
          <w:rFonts w:hint="eastAsia" w:ascii="楷体_GB2312" w:hAnsi="楷体_GB2312" w:eastAsia="楷体_GB2312" w:cs="楷体_GB2312"/>
          <w:bCs/>
          <w:color w:val="000000"/>
          <w:sz w:val="32"/>
          <w:szCs w:val="32"/>
          <w:lang w:eastAsia="zh-CN"/>
        </w:rPr>
        <w:t>区</w:t>
      </w:r>
      <w:r>
        <w:rPr>
          <w:rFonts w:hint="eastAsia" w:ascii="楷体_GB2312" w:hAnsi="楷体_GB2312" w:eastAsia="楷体_GB2312" w:cs="楷体_GB2312"/>
          <w:bCs/>
          <w:color w:val="000000"/>
          <w:sz w:val="32"/>
          <w:szCs w:val="32"/>
        </w:rPr>
        <w:t>人民法院202</w:t>
      </w:r>
      <w:r>
        <w:rPr>
          <w:rFonts w:hint="eastAsia" w:ascii="楷体_GB2312" w:hAnsi="楷体_GB2312" w:eastAsia="楷体_GB2312" w:cs="楷体_GB2312"/>
          <w:bCs/>
          <w:color w:val="000000"/>
          <w:sz w:val="32"/>
          <w:szCs w:val="32"/>
          <w:lang w:val="en-US" w:eastAsia="zh-CN"/>
        </w:rPr>
        <w:t>2</w:t>
      </w:r>
      <w:r>
        <w:rPr>
          <w:rFonts w:hint="eastAsia" w:ascii="楷体_GB2312" w:hAnsi="楷体_GB2312" w:eastAsia="楷体_GB2312" w:cs="楷体_GB2312"/>
          <w:bCs/>
          <w:color w:val="000000"/>
          <w:sz w:val="32"/>
          <w:szCs w:val="32"/>
        </w:rPr>
        <w:t>年财政拨款收支预算情况的总体说明</w:t>
      </w:r>
    </w:p>
    <w:p>
      <w:pPr>
        <w:snapToGrid w:val="0"/>
        <w:spacing w:line="540" w:lineRule="exact"/>
        <w:ind w:firstLine="640"/>
        <w:rPr>
          <w:rFonts w:ascii="仿宋_GB2312" w:eastAsia="仿宋_GB2312"/>
          <w:color w:val="0000FF"/>
          <w:sz w:val="32"/>
          <w:szCs w:val="32"/>
        </w:rPr>
      </w:pPr>
      <w:r>
        <w:rPr>
          <w:rFonts w:hint="eastAsia" w:ascii="仿宋_GB2312" w:eastAsia="仿宋_GB2312"/>
          <w:color w:val="auto"/>
          <w:sz w:val="32"/>
          <w:szCs w:val="32"/>
        </w:rPr>
        <w:t>莲都</w:t>
      </w:r>
      <w:r>
        <w:rPr>
          <w:rFonts w:hint="eastAsia" w:ascii="仿宋_GB2312" w:eastAsia="仿宋_GB2312"/>
          <w:color w:val="auto"/>
          <w:sz w:val="32"/>
          <w:szCs w:val="32"/>
          <w:lang w:eastAsia="zh-CN"/>
        </w:rPr>
        <w:t>区</w:t>
      </w:r>
      <w:r>
        <w:rPr>
          <w:rFonts w:hint="eastAsia" w:ascii="仿宋_GB2312" w:eastAsia="仿宋_GB2312"/>
          <w:color w:val="auto"/>
          <w:sz w:val="32"/>
          <w:szCs w:val="32"/>
        </w:rPr>
        <w:t>人民法院20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年财政拨款收支总预算</w:t>
      </w:r>
      <w:r>
        <w:rPr>
          <w:rFonts w:hint="eastAsia" w:ascii="仿宋_GB2312" w:eastAsia="仿宋_GB2312"/>
          <w:color w:val="auto"/>
          <w:sz w:val="32"/>
          <w:szCs w:val="32"/>
          <w:lang w:val="en-US" w:eastAsia="zh-CN"/>
        </w:rPr>
        <w:t>5982.81</w:t>
      </w:r>
      <w:r>
        <w:rPr>
          <w:rFonts w:hint="eastAsia" w:ascii="仿宋_GB2312" w:eastAsia="仿宋_GB2312"/>
          <w:color w:val="auto"/>
          <w:sz w:val="32"/>
          <w:szCs w:val="32"/>
        </w:rPr>
        <w:t>万元。收入包括：</w:t>
      </w:r>
      <w:r>
        <w:rPr>
          <w:rFonts w:hint="eastAsia" w:ascii="仿宋_GB2312" w:eastAsia="仿宋_GB2312"/>
          <w:color w:val="auto"/>
          <w:sz w:val="32"/>
          <w:szCs w:val="32"/>
          <w:lang w:eastAsia="zh-CN"/>
        </w:rPr>
        <w:t>一般公共预算</w:t>
      </w:r>
      <w:r>
        <w:rPr>
          <w:rFonts w:hint="eastAsia" w:ascii="仿宋_GB2312" w:eastAsia="仿宋_GB2312"/>
          <w:color w:val="auto"/>
          <w:sz w:val="32"/>
          <w:szCs w:val="32"/>
          <w:lang w:val="en-US" w:eastAsia="zh-CN"/>
        </w:rPr>
        <w:t>5982.81万元，政府性基金预算0万元，国有资本经营预算0万元；支出包括：</w:t>
      </w:r>
      <w:bookmarkStart w:id="0" w:name="_GoBack"/>
      <w:bookmarkEnd w:id="0"/>
      <w:r>
        <w:rPr>
          <w:rFonts w:hint="eastAsia" w:ascii="仿宋_GB2312" w:eastAsia="仿宋_GB2312"/>
          <w:color w:val="auto"/>
          <w:sz w:val="32"/>
          <w:szCs w:val="32"/>
        </w:rPr>
        <w:t>公共安全支出</w:t>
      </w:r>
      <w:r>
        <w:rPr>
          <w:rFonts w:hint="eastAsia" w:ascii="仿宋_GB2312" w:eastAsia="仿宋_GB2312"/>
          <w:color w:val="auto"/>
          <w:sz w:val="32"/>
          <w:szCs w:val="32"/>
          <w:lang w:val="en-US" w:eastAsia="zh-CN"/>
        </w:rPr>
        <w:t>5060.98</w:t>
      </w:r>
      <w:r>
        <w:rPr>
          <w:rFonts w:hint="eastAsia" w:ascii="仿宋_GB2312" w:eastAsia="仿宋_GB2312"/>
          <w:color w:val="auto"/>
          <w:sz w:val="32"/>
          <w:szCs w:val="32"/>
        </w:rPr>
        <w:t>万元、社会保障和就业支出</w:t>
      </w:r>
      <w:r>
        <w:rPr>
          <w:rFonts w:hint="eastAsia" w:ascii="仿宋_GB2312" w:eastAsia="仿宋_GB2312"/>
          <w:color w:val="auto"/>
          <w:sz w:val="32"/>
          <w:szCs w:val="32"/>
          <w:lang w:val="en-US" w:eastAsia="zh-CN"/>
        </w:rPr>
        <w:t>387.07</w:t>
      </w:r>
      <w:r>
        <w:rPr>
          <w:rFonts w:hint="eastAsia" w:ascii="仿宋_GB2312" w:eastAsia="仿宋_GB2312"/>
          <w:color w:val="auto"/>
          <w:sz w:val="32"/>
          <w:szCs w:val="32"/>
        </w:rPr>
        <w:t>万元、卫生健康支出</w:t>
      </w:r>
      <w:r>
        <w:rPr>
          <w:rFonts w:hint="eastAsia" w:ascii="仿宋_GB2312" w:eastAsia="仿宋_GB2312"/>
          <w:color w:val="auto"/>
          <w:sz w:val="32"/>
          <w:szCs w:val="32"/>
          <w:lang w:val="en-US" w:eastAsia="zh-CN"/>
        </w:rPr>
        <w:t>225.92</w:t>
      </w:r>
      <w:r>
        <w:rPr>
          <w:rFonts w:hint="eastAsia" w:ascii="仿宋_GB2312" w:eastAsia="仿宋_GB2312"/>
          <w:color w:val="auto"/>
          <w:sz w:val="32"/>
          <w:szCs w:val="32"/>
        </w:rPr>
        <w:t>万元、住房保障支出</w:t>
      </w:r>
      <w:r>
        <w:rPr>
          <w:rFonts w:hint="eastAsia" w:ascii="仿宋_GB2312" w:eastAsia="仿宋_GB2312"/>
          <w:color w:val="auto"/>
          <w:sz w:val="32"/>
          <w:szCs w:val="32"/>
          <w:lang w:val="en-US" w:eastAsia="zh-CN"/>
        </w:rPr>
        <w:t>308.84</w:t>
      </w:r>
      <w:r>
        <w:rPr>
          <w:rFonts w:hint="eastAsia" w:ascii="仿宋_GB2312" w:eastAsia="仿宋_GB2312"/>
          <w:color w:val="auto"/>
          <w:sz w:val="32"/>
          <w:szCs w:val="32"/>
        </w:rPr>
        <w:t>万元。</w:t>
      </w:r>
    </w:p>
    <w:p>
      <w:pPr>
        <w:numPr>
          <w:ilvl w:val="0"/>
          <w:numId w:val="2"/>
        </w:numPr>
        <w:snapToGrid w:val="0"/>
        <w:spacing w:line="54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关于莲都</w:t>
      </w:r>
      <w:r>
        <w:rPr>
          <w:rFonts w:hint="eastAsia" w:ascii="楷体_GB2312" w:hAnsi="楷体_GB2312" w:eastAsia="楷体_GB2312" w:cs="楷体_GB2312"/>
          <w:bCs/>
          <w:color w:val="000000"/>
          <w:sz w:val="32"/>
          <w:szCs w:val="32"/>
          <w:lang w:eastAsia="zh-CN"/>
        </w:rPr>
        <w:t>区</w:t>
      </w:r>
      <w:r>
        <w:rPr>
          <w:rFonts w:hint="eastAsia" w:ascii="楷体_GB2312" w:hAnsi="楷体_GB2312" w:eastAsia="楷体_GB2312" w:cs="楷体_GB2312"/>
          <w:bCs/>
          <w:color w:val="000000"/>
          <w:sz w:val="32"/>
          <w:szCs w:val="32"/>
        </w:rPr>
        <w:t>人民法院202</w:t>
      </w:r>
      <w:r>
        <w:rPr>
          <w:rFonts w:hint="eastAsia" w:ascii="楷体_GB2312" w:hAnsi="楷体_GB2312" w:eastAsia="楷体_GB2312" w:cs="楷体_GB2312"/>
          <w:bCs/>
          <w:color w:val="000000"/>
          <w:sz w:val="32"/>
          <w:szCs w:val="32"/>
          <w:lang w:val="en-US" w:eastAsia="zh-CN"/>
        </w:rPr>
        <w:t>2</w:t>
      </w:r>
      <w:r>
        <w:rPr>
          <w:rFonts w:hint="eastAsia" w:ascii="楷体_GB2312" w:hAnsi="楷体_GB2312" w:eastAsia="楷体_GB2312" w:cs="楷体_GB2312"/>
          <w:bCs/>
          <w:color w:val="000000"/>
          <w:sz w:val="32"/>
          <w:szCs w:val="32"/>
        </w:rPr>
        <w:t>年一般公共预算当年拨款情况说明</w:t>
      </w:r>
    </w:p>
    <w:p>
      <w:pPr>
        <w:snapToGrid w:val="0"/>
        <w:spacing w:line="54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1.一般公共预算当年拨款规模变化情况。</w:t>
      </w:r>
    </w:p>
    <w:p>
      <w:pPr>
        <w:snapToGrid w:val="0"/>
        <w:spacing w:line="540" w:lineRule="exact"/>
        <w:ind w:firstLine="642"/>
        <w:rPr>
          <w:rFonts w:ascii="仿宋_GB2312" w:eastAsia="仿宋_GB2312"/>
          <w:color w:val="auto"/>
          <w:sz w:val="32"/>
          <w:szCs w:val="32"/>
        </w:rPr>
      </w:pPr>
      <w:r>
        <w:rPr>
          <w:rFonts w:hint="eastAsia" w:ascii="仿宋_GB2312" w:eastAsia="仿宋_GB2312"/>
          <w:color w:val="auto"/>
          <w:sz w:val="32"/>
          <w:szCs w:val="32"/>
        </w:rPr>
        <w:t>莲都</w:t>
      </w:r>
      <w:r>
        <w:rPr>
          <w:rFonts w:hint="eastAsia" w:ascii="仿宋_GB2312" w:eastAsia="仿宋_GB2312"/>
          <w:color w:val="auto"/>
          <w:sz w:val="32"/>
          <w:szCs w:val="32"/>
          <w:lang w:eastAsia="zh-CN"/>
        </w:rPr>
        <w:t>区</w:t>
      </w:r>
      <w:r>
        <w:rPr>
          <w:rFonts w:hint="eastAsia" w:ascii="仿宋_GB2312" w:eastAsia="仿宋_GB2312"/>
          <w:color w:val="auto"/>
          <w:sz w:val="32"/>
          <w:szCs w:val="32"/>
        </w:rPr>
        <w:t>人民法院202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年一般公共预算当年拨款</w:t>
      </w:r>
      <w:r>
        <w:rPr>
          <w:rFonts w:hint="eastAsia" w:ascii="仿宋_GB2312" w:eastAsia="仿宋_GB2312"/>
          <w:color w:val="auto"/>
          <w:sz w:val="32"/>
          <w:szCs w:val="32"/>
          <w:lang w:val="en-US" w:eastAsia="zh-CN"/>
        </w:rPr>
        <w:t>5982.81</w:t>
      </w:r>
      <w:r>
        <w:rPr>
          <w:rFonts w:hint="eastAsia" w:ascii="仿宋_GB2312" w:eastAsia="仿宋_GB2312"/>
          <w:color w:val="auto"/>
          <w:sz w:val="32"/>
          <w:szCs w:val="32"/>
        </w:rPr>
        <w:t>万元，比20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年执行</w:t>
      </w:r>
      <w:r>
        <w:rPr>
          <w:rFonts w:hint="eastAsia" w:ascii="仿宋_GB2312" w:eastAsia="仿宋_GB2312"/>
          <w:color w:val="auto"/>
          <w:sz w:val="32"/>
          <w:szCs w:val="32"/>
          <w:lang w:eastAsia="zh-CN"/>
        </w:rPr>
        <w:t>数减少</w:t>
      </w:r>
      <w:r>
        <w:rPr>
          <w:rFonts w:hint="eastAsia" w:ascii="仿宋_GB2312" w:eastAsia="仿宋_GB2312"/>
          <w:color w:val="auto"/>
          <w:sz w:val="32"/>
          <w:szCs w:val="32"/>
          <w:lang w:val="en-US" w:eastAsia="zh-CN"/>
        </w:rPr>
        <w:t>10.31</w:t>
      </w:r>
      <w:r>
        <w:rPr>
          <w:rFonts w:hint="eastAsia" w:ascii="仿宋_GB2312" w:eastAsia="仿宋_GB2312"/>
          <w:color w:val="auto"/>
          <w:sz w:val="32"/>
          <w:szCs w:val="32"/>
        </w:rPr>
        <w:t>万元，主要是</w:t>
      </w:r>
      <w:r>
        <w:rPr>
          <w:rFonts w:hint="eastAsia" w:ascii="仿宋_GB2312" w:eastAsia="仿宋_GB2312"/>
          <w:color w:val="auto"/>
          <w:sz w:val="32"/>
          <w:szCs w:val="32"/>
          <w:lang w:eastAsia="zh-CN"/>
        </w:rPr>
        <w:t>正式在编人员减少，人员经费及公用经费相对减少</w:t>
      </w:r>
      <w:r>
        <w:rPr>
          <w:rFonts w:hint="eastAsia" w:ascii="仿宋_GB2312" w:eastAsia="仿宋_GB2312"/>
          <w:color w:val="auto"/>
          <w:sz w:val="32"/>
          <w:szCs w:val="32"/>
        </w:rPr>
        <w:t>。</w:t>
      </w:r>
    </w:p>
    <w:p>
      <w:pPr>
        <w:snapToGrid w:val="0"/>
        <w:spacing w:line="54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2.一般公共预算当年拨款结构情况。</w:t>
      </w:r>
    </w:p>
    <w:p>
      <w:pPr>
        <w:snapToGrid w:val="0"/>
        <w:spacing w:line="540" w:lineRule="exact"/>
        <w:ind w:firstLine="640" w:firstLineChars="200"/>
        <w:rPr>
          <w:rFonts w:ascii="仿宋_GB2312" w:eastAsia="仿宋_GB2312"/>
          <w:color w:val="0000FF"/>
          <w:sz w:val="32"/>
          <w:szCs w:val="32"/>
        </w:rPr>
      </w:pPr>
      <w:r>
        <w:rPr>
          <w:rFonts w:hint="eastAsia" w:ascii="仿宋_GB2312" w:eastAsia="仿宋_GB2312"/>
          <w:color w:val="auto"/>
          <w:sz w:val="32"/>
          <w:szCs w:val="32"/>
        </w:rPr>
        <w:t>公共安全（类）支出</w:t>
      </w:r>
      <w:r>
        <w:rPr>
          <w:rFonts w:hint="eastAsia" w:ascii="仿宋_GB2312" w:eastAsia="仿宋_GB2312"/>
          <w:color w:val="auto"/>
          <w:sz w:val="32"/>
          <w:szCs w:val="32"/>
          <w:lang w:val="en-US" w:eastAsia="zh-CN"/>
        </w:rPr>
        <w:t>5060.98</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84.59</w:t>
      </w:r>
      <w:r>
        <w:rPr>
          <w:rFonts w:hint="eastAsia" w:ascii="仿宋_GB2312" w:eastAsia="仿宋_GB2312"/>
          <w:color w:val="auto"/>
          <w:sz w:val="32"/>
          <w:szCs w:val="32"/>
        </w:rPr>
        <w:t>%；社会保障和就业（类）支出</w:t>
      </w:r>
      <w:r>
        <w:rPr>
          <w:rFonts w:hint="eastAsia" w:ascii="仿宋_GB2312" w:eastAsia="仿宋_GB2312"/>
          <w:color w:val="auto"/>
          <w:sz w:val="32"/>
          <w:szCs w:val="32"/>
          <w:lang w:val="en-US" w:eastAsia="zh-CN"/>
        </w:rPr>
        <w:t>387.07</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6.47</w:t>
      </w:r>
      <w:r>
        <w:rPr>
          <w:rFonts w:hint="eastAsia" w:ascii="仿宋_GB2312" w:eastAsia="仿宋_GB2312"/>
          <w:color w:val="auto"/>
          <w:sz w:val="32"/>
          <w:szCs w:val="32"/>
        </w:rPr>
        <w:t>%；卫生健康（类）支出</w:t>
      </w:r>
      <w:r>
        <w:rPr>
          <w:rFonts w:hint="eastAsia" w:ascii="仿宋_GB2312" w:eastAsia="仿宋_GB2312"/>
          <w:color w:val="auto"/>
          <w:sz w:val="32"/>
          <w:szCs w:val="32"/>
          <w:lang w:val="en-US" w:eastAsia="zh-CN"/>
        </w:rPr>
        <w:t>225.92</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3.78</w:t>
      </w:r>
      <w:r>
        <w:rPr>
          <w:rFonts w:hint="eastAsia" w:ascii="仿宋_GB2312" w:eastAsia="仿宋_GB2312"/>
          <w:color w:val="auto"/>
          <w:sz w:val="32"/>
          <w:szCs w:val="32"/>
        </w:rPr>
        <w:t>%；住房保障（类）支出</w:t>
      </w:r>
      <w:r>
        <w:rPr>
          <w:rFonts w:hint="eastAsia" w:ascii="仿宋_GB2312" w:eastAsia="仿宋_GB2312"/>
          <w:color w:val="auto"/>
          <w:sz w:val="32"/>
          <w:szCs w:val="32"/>
          <w:lang w:val="en-US" w:eastAsia="zh-CN"/>
        </w:rPr>
        <w:t>308.84</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5.16</w:t>
      </w:r>
      <w:r>
        <w:rPr>
          <w:rFonts w:hint="eastAsia" w:ascii="仿宋_GB2312" w:eastAsia="仿宋_GB2312"/>
          <w:color w:val="auto"/>
          <w:sz w:val="32"/>
          <w:szCs w:val="32"/>
        </w:rPr>
        <w:t>%。</w:t>
      </w:r>
    </w:p>
    <w:p>
      <w:pPr>
        <w:snapToGrid w:val="0"/>
        <w:spacing w:line="540" w:lineRule="exact"/>
        <w:ind w:firstLine="645"/>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3.一般公共预算当年拨款具体使用情况。</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（1）公共安全支出（类）法院（款）行政运行（项）</w:t>
      </w:r>
      <w:r>
        <w:rPr>
          <w:rFonts w:hint="eastAsia" w:ascii="仿宋_GB2312" w:eastAsia="仿宋_GB2312"/>
          <w:color w:val="auto"/>
          <w:sz w:val="32"/>
          <w:szCs w:val="32"/>
          <w:lang w:val="en-US" w:eastAsia="zh-CN"/>
        </w:rPr>
        <w:t>3804.81</w:t>
      </w:r>
      <w:r>
        <w:rPr>
          <w:rFonts w:hint="eastAsia" w:ascii="仿宋_GB2312" w:eastAsia="仿宋_GB2312"/>
          <w:color w:val="auto"/>
          <w:sz w:val="32"/>
          <w:szCs w:val="32"/>
        </w:rPr>
        <w:t>万元，主要用于本级法院保障机构正常运行，完成日常工作任务所发生的人员支出及日常运行公用经费等基本支出。</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（2）公共安全支出（类）法院（款）</w:t>
      </w:r>
      <w:r>
        <w:rPr>
          <w:rFonts w:hint="eastAsia" w:ascii="仿宋_GB2312" w:eastAsia="仿宋_GB2312"/>
          <w:color w:val="auto"/>
          <w:sz w:val="32"/>
          <w:szCs w:val="32"/>
          <w:lang w:eastAsia="zh-CN"/>
        </w:rPr>
        <w:t>机关服务</w:t>
      </w:r>
      <w:r>
        <w:rPr>
          <w:rFonts w:hint="eastAsia" w:ascii="仿宋_GB2312" w:eastAsia="仿宋_GB2312"/>
          <w:color w:val="auto"/>
          <w:sz w:val="32"/>
          <w:szCs w:val="32"/>
        </w:rPr>
        <w:t>（项）</w:t>
      </w:r>
      <w:r>
        <w:rPr>
          <w:rFonts w:hint="eastAsia" w:ascii="仿宋_GB2312" w:eastAsia="仿宋_GB2312"/>
          <w:color w:val="auto"/>
          <w:sz w:val="32"/>
          <w:szCs w:val="32"/>
          <w:lang w:val="en-US" w:eastAsia="zh-CN"/>
        </w:rPr>
        <w:t>180</w:t>
      </w:r>
      <w:r>
        <w:rPr>
          <w:rFonts w:hint="eastAsia" w:ascii="仿宋_GB2312" w:eastAsia="仿宋_GB2312"/>
          <w:color w:val="auto"/>
          <w:sz w:val="32"/>
          <w:szCs w:val="32"/>
        </w:rPr>
        <w:t>万元，主要</w:t>
      </w:r>
      <w:r>
        <w:rPr>
          <w:rFonts w:hint="eastAsia" w:ascii="仿宋_GB2312" w:eastAsia="仿宋_GB2312"/>
          <w:color w:val="auto"/>
          <w:sz w:val="32"/>
          <w:szCs w:val="32"/>
          <w:lang w:eastAsia="zh-CN"/>
        </w:rPr>
        <w:t>用于本院物业管理费用的</w:t>
      </w:r>
      <w:r>
        <w:rPr>
          <w:rFonts w:hint="eastAsia" w:ascii="仿宋_GB2312" w:eastAsia="仿宋_GB2312"/>
          <w:color w:val="auto"/>
          <w:sz w:val="32"/>
          <w:szCs w:val="32"/>
        </w:rPr>
        <w:t>支出。</w:t>
      </w:r>
    </w:p>
    <w:p>
      <w:pPr>
        <w:ind w:firstLine="640" w:firstLineChars="200"/>
        <w:rPr>
          <w:rFonts w:ascii="仿宋_GB2312" w:eastAsia="仿宋_GB2312"/>
          <w:color w:val="0000FF"/>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）公共安全支出（类）法院（款）其他法院支出（项）</w:t>
      </w:r>
      <w:r>
        <w:rPr>
          <w:rFonts w:hint="eastAsia" w:ascii="仿宋_GB2312" w:eastAsia="仿宋_GB2312"/>
          <w:color w:val="auto"/>
          <w:sz w:val="32"/>
          <w:szCs w:val="32"/>
          <w:lang w:val="en-US" w:eastAsia="zh-CN"/>
        </w:rPr>
        <w:t>1076.17</w:t>
      </w:r>
      <w:r>
        <w:rPr>
          <w:rFonts w:hint="eastAsia" w:ascii="仿宋_GB2312" w:eastAsia="仿宋_GB2312"/>
          <w:color w:val="auto"/>
          <w:sz w:val="32"/>
          <w:szCs w:val="32"/>
        </w:rPr>
        <w:t>万元，主要用于主要用于办案水电费、通信费、劳务用、差旅费和信息化建设</w:t>
      </w:r>
      <w:r>
        <w:rPr>
          <w:rFonts w:hint="eastAsia" w:ascii="仿宋_GB2312" w:eastAsia="仿宋_GB2312"/>
          <w:color w:val="auto"/>
          <w:sz w:val="32"/>
          <w:szCs w:val="32"/>
          <w:lang w:eastAsia="zh-CN"/>
        </w:rPr>
        <w:t>、被装购置</w:t>
      </w:r>
      <w:r>
        <w:rPr>
          <w:rFonts w:hint="eastAsia" w:ascii="仿宋_GB2312" w:eastAsia="仿宋_GB2312"/>
          <w:color w:val="auto"/>
          <w:sz w:val="32"/>
          <w:szCs w:val="32"/>
        </w:rPr>
        <w:t>等项目支出。</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）社会保障和就业支出（类）行政</w:t>
      </w:r>
      <w:r>
        <w:rPr>
          <w:rFonts w:hint="eastAsia" w:ascii="仿宋_GB2312" w:eastAsia="仿宋_GB2312"/>
          <w:color w:val="auto"/>
          <w:sz w:val="32"/>
          <w:szCs w:val="32"/>
          <w:lang w:eastAsia="zh-CN"/>
        </w:rPr>
        <w:t>事业</w:t>
      </w:r>
      <w:r>
        <w:rPr>
          <w:rFonts w:hint="eastAsia" w:ascii="仿宋_GB2312" w:eastAsia="仿宋_GB2312"/>
          <w:color w:val="auto"/>
          <w:sz w:val="32"/>
          <w:szCs w:val="32"/>
        </w:rPr>
        <w:t>单位</w:t>
      </w:r>
      <w:r>
        <w:rPr>
          <w:rFonts w:hint="eastAsia" w:ascii="仿宋_GB2312" w:eastAsia="仿宋_GB2312"/>
          <w:color w:val="auto"/>
          <w:sz w:val="32"/>
          <w:szCs w:val="32"/>
          <w:lang w:eastAsia="zh-CN"/>
        </w:rPr>
        <w:t>养老支出</w:t>
      </w:r>
      <w:r>
        <w:rPr>
          <w:rFonts w:hint="eastAsia" w:ascii="仿宋_GB2312" w:eastAsia="仿宋_GB2312"/>
          <w:color w:val="auto"/>
          <w:sz w:val="32"/>
          <w:szCs w:val="32"/>
        </w:rPr>
        <w:t>（款）机关事业单位基本养老保险缴费支出（项）</w:t>
      </w:r>
      <w:r>
        <w:rPr>
          <w:rFonts w:hint="eastAsia" w:ascii="仿宋_GB2312" w:eastAsia="仿宋_GB2312"/>
          <w:color w:val="auto"/>
          <w:sz w:val="32"/>
          <w:szCs w:val="32"/>
          <w:lang w:val="en-US" w:eastAsia="zh-CN"/>
        </w:rPr>
        <w:t>175.8</w:t>
      </w:r>
      <w:r>
        <w:rPr>
          <w:rFonts w:hint="eastAsia" w:ascii="仿宋_GB2312" w:eastAsia="仿宋_GB2312"/>
          <w:color w:val="auto"/>
          <w:sz w:val="32"/>
          <w:szCs w:val="32"/>
        </w:rPr>
        <w:t>万元</w:t>
      </w:r>
      <w:r>
        <w:rPr>
          <w:rFonts w:ascii="仿宋_GB2312" w:eastAsia="仿宋_GB2312"/>
          <w:color w:val="auto"/>
          <w:sz w:val="32"/>
          <w:szCs w:val="32"/>
        </w:rPr>
        <w:t>,</w:t>
      </w:r>
      <w:r>
        <w:rPr>
          <w:rFonts w:hint="eastAsia" w:ascii="仿宋_GB2312" w:eastAsia="仿宋_GB2312"/>
          <w:color w:val="auto"/>
          <w:sz w:val="32"/>
          <w:szCs w:val="32"/>
        </w:rPr>
        <w:t>主要用于本院及下属事业单位人员单位缴纳的基本养老保险费支出；</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）社会保障和就业支出（类）行政</w:t>
      </w:r>
      <w:r>
        <w:rPr>
          <w:rFonts w:hint="eastAsia" w:ascii="仿宋_GB2312" w:eastAsia="仿宋_GB2312"/>
          <w:color w:val="auto"/>
          <w:sz w:val="32"/>
          <w:szCs w:val="32"/>
          <w:lang w:eastAsia="zh-CN"/>
        </w:rPr>
        <w:t>事业</w:t>
      </w:r>
      <w:r>
        <w:rPr>
          <w:rFonts w:hint="eastAsia" w:ascii="仿宋_GB2312" w:eastAsia="仿宋_GB2312"/>
          <w:color w:val="auto"/>
          <w:sz w:val="32"/>
          <w:szCs w:val="32"/>
        </w:rPr>
        <w:t>单位</w:t>
      </w:r>
      <w:r>
        <w:rPr>
          <w:rFonts w:hint="eastAsia" w:ascii="仿宋_GB2312" w:eastAsia="仿宋_GB2312"/>
          <w:color w:val="auto"/>
          <w:sz w:val="32"/>
          <w:szCs w:val="32"/>
          <w:lang w:eastAsia="zh-CN"/>
        </w:rPr>
        <w:t>养老支出</w:t>
      </w:r>
      <w:r>
        <w:rPr>
          <w:rFonts w:hint="eastAsia" w:ascii="仿宋_GB2312" w:eastAsia="仿宋_GB2312"/>
          <w:color w:val="auto"/>
          <w:sz w:val="32"/>
          <w:szCs w:val="32"/>
        </w:rPr>
        <w:t>（款）机关事业单位职业年金缴费支出（项）</w:t>
      </w:r>
      <w:r>
        <w:rPr>
          <w:rFonts w:hint="eastAsia" w:ascii="仿宋_GB2312" w:eastAsia="仿宋_GB2312"/>
          <w:color w:val="auto"/>
          <w:sz w:val="32"/>
          <w:szCs w:val="32"/>
          <w:lang w:val="en-US" w:eastAsia="zh-CN"/>
        </w:rPr>
        <w:t>87.9</w:t>
      </w:r>
      <w:r>
        <w:rPr>
          <w:rFonts w:hint="eastAsia" w:ascii="仿宋_GB2312" w:eastAsia="仿宋_GB2312"/>
          <w:color w:val="auto"/>
          <w:sz w:val="32"/>
          <w:szCs w:val="32"/>
        </w:rPr>
        <w:t>万元</w:t>
      </w:r>
      <w:r>
        <w:rPr>
          <w:rFonts w:ascii="仿宋_GB2312" w:eastAsia="仿宋_GB2312"/>
          <w:color w:val="auto"/>
          <w:sz w:val="32"/>
          <w:szCs w:val="32"/>
        </w:rPr>
        <w:t>,</w:t>
      </w:r>
      <w:r>
        <w:rPr>
          <w:rFonts w:hint="eastAsia" w:ascii="仿宋_GB2312" w:eastAsia="仿宋_GB2312"/>
          <w:color w:val="auto"/>
          <w:sz w:val="32"/>
          <w:szCs w:val="32"/>
        </w:rPr>
        <w:t>主要用于本院及下属事业单位人员单位实际缴纳职业年金支出；</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）社会保障和就业支出（类）行政</w:t>
      </w:r>
      <w:r>
        <w:rPr>
          <w:rFonts w:hint="eastAsia" w:ascii="仿宋_GB2312" w:eastAsia="仿宋_GB2312"/>
          <w:color w:val="auto"/>
          <w:sz w:val="32"/>
          <w:szCs w:val="32"/>
          <w:lang w:eastAsia="zh-CN"/>
        </w:rPr>
        <w:t>事业</w:t>
      </w:r>
      <w:r>
        <w:rPr>
          <w:rFonts w:hint="eastAsia" w:ascii="仿宋_GB2312" w:eastAsia="仿宋_GB2312"/>
          <w:color w:val="auto"/>
          <w:sz w:val="32"/>
          <w:szCs w:val="32"/>
        </w:rPr>
        <w:t>单位</w:t>
      </w:r>
      <w:r>
        <w:rPr>
          <w:rFonts w:hint="eastAsia" w:ascii="仿宋_GB2312" w:eastAsia="仿宋_GB2312"/>
          <w:color w:val="auto"/>
          <w:sz w:val="32"/>
          <w:szCs w:val="32"/>
          <w:lang w:eastAsia="zh-CN"/>
        </w:rPr>
        <w:t>养老支出</w:t>
      </w:r>
      <w:r>
        <w:rPr>
          <w:rFonts w:hint="eastAsia" w:ascii="仿宋_GB2312" w:eastAsia="仿宋_GB2312"/>
          <w:color w:val="auto"/>
          <w:sz w:val="32"/>
          <w:szCs w:val="32"/>
        </w:rPr>
        <w:t>（款）其他行政事业单位</w:t>
      </w:r>
      <w:r>
        <w:rPr>
          <w:rFonts w:hint="eastAsia" w:ascii="仿宋_GB2312" w:eastAsia="仿宋_GB2312"/>
          <w:color w:val="auto"/>
          <w:sz w:val="32"/>
          <w:szCs w:val="32"/>
          <w:lang w:eastAsia="zh-CN"/>
        </w:rPr>
        <w:t>养老</w:t>
      </w:r>
      <w:r>
        <w:rPr>
          <w:rFonts w:hint="eastAsia" w:ascii="仿宋_GB2312" w:eastAsia="仿宋_GB2312"/>
          <w:color w:val="auto"/>
          <w:sz w:val="32"/>
          <w:szCs w:val="32"/>
        </w:rPr>
        <w:t>支出（项）</w:t>
      </w:r>
      <w:r>
        <w:rPr>
          <w:rFonts w:hint="eastAsia" w:ascii="仿宋_GB2312" w:eastAsia="仿宋_GB2312"/>
          <w:color w:val="auto"/>
          <w:sz w:val="32"/>
          <w:szCs w:val="32"/>
          <w:lang w:val="en-US" w:eastAsia="zh-CN"/>
        </w:rPr>
        <w:t>123.36</w:t>
      </w:r>
      <w:r>
        <w:rPr>
          <w:rFonts w:hint="eastAsia" w:ascii="仿宋_GB2312" w:eastAsia="仿宋_GB2312"/>
          <w:color w:val="auto"/>
          <w:sz w:val="32"/>
          <w:szCs w:val="32"/>
        </w:rPr>
        <w:t>万元，主要用于本院退休人员综合生活补助及活动费支出。</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）卫生健康支出（类）行政事业单位医疗（款）行政单位医疗（项）</w:t>
      </w:r>
      <w:r>
        <w:rPr>
          <w:rFonts w:hint="eastAsia" w:ascii="仿宋_GB2312" w:eastAsia="仿宋_GB2312"/>
          <w:color w:val="auto"/>
          <w:sz w:val="32"/>
          <w:szCs w:val="32"/>
          <w:lang w:val="en-US" w:eastAsia="zh-CN"/>
        </w:rPr>
        <w:t>225.92</w:t>
      </w:r>
      <w:r>
        <w:rPr>
          <w:rFonts w:hint="eastAsia" w:ascii="仿宋_GB2312" w:eastAsia="仿宋_GB2312"/>
          <w:color w:val="auto"/>
          <w:sz w:val="32"/>
          <w:szCs w:val="32"/>
        </w:rPr>
        <w:t>万元。主要用于本院在职及退休人员的医疗保险费支出。</w:t>
      </w:r>
    </w:p>
    <w:p>
      <w:pPr>
        <w:ind w:firstLine="640" w:firstLineChars="200"/>
        <w:rPr>
          <w:rFonts w:ascii="仿宋_GB2312" w:eastAsia="仿宋_GB2312"/>
          <w:color w:val="0000FF"/>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）住房保障支出（类）住房改革支出（款）住房公积金（项）</w:t>
      </w:r>
      <w:r>
        <w:rPr>
          <w:rFonts w:hint="eastAsia" w:ascii="仿宋_GB2312" w:eastAsia="仿宋_GB2312"/>
          <w:color w:val="auto"/>
          <w:sz w:val="32"/>
          <w:szCs w:val="32"/>
          <w:lang w:val="en-US" w:eastAsia="zh-CN"/>
        </w:rPr>
        <w:t>308.84</w:t>
      </w:r>
      <w:r>
        <w:rPr>
          <w:rFonts w:hint="eastAsia" w:ascii="仿宋_GB2312" w:eastAsia="仿宋_GB2312"/>
          <w:color w:val="auto"/>
          <w:sz w:val="32"/>
          <w:szCs w:val="32"/>
        </w:rPr>
        <w:t>万元。主要用于本院及下属事业单位为职工缴纳的住房公积金支出。</w:t>
      </w:r>
    </w:p>
    <w:p>
      <w:pPr>
        <w:snapToGrid w:val="0"/>
        <w:spacing w:line="54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（六）关于莲都</w:t>
      </w:r>
      <w:r>
        <w:rPr>
          <w:rFonts w:hint="eastAsia" w:ascii="楷体_GB2312" w:hAnsi="楷体_GB2312" w:eastAsia="楷体_GB2312" w:cs="楷体_GB2312"/>
          <w:bCs/>
          <w:color w:val="000000"/>
          <w:sz w:val="32"/>
          <w:szCs w:val="32"/>
          <w:lang w:eastAsia="zh-CN"/>
        </w:rPr>
        <w:t>区</w:t>
      </w:r>
      <w:r>
        <w:rPr>
          <w:rFonts w:hint="eastAsia" w:ascii="楷体_GB2312" w:hAnsi="楷体_GB2312" w:eastAsia="楷体_GB2312" w:cs="楷体_GB2312"/>
          <w:bCs/>
          <w:color w:val="000000"/>
          <w:sz w:val="32"/>
          <w:szCs w:val="32"/>
        </w:rPr>
        <w:t>人民法院20</w:t>
      </w:r>
      <w:r>
        <w:rPr>
          <w:rFonts w:hint="eastAsia" w:ascii="楷体_GB2312" w:hAnsi="楷体_GB2312" w:eastAsia="楷体_GB2312" w:cs="楷体_GB2312"/>
          <w:bCs/>
          <w:color w:val="000000"/>
          <w:sz w:val="32"/>
          <w:szCs w:val="32"/>
          <w:lang w:val="en-US" w:eastAsia="zh-CN"/>
        </w:rPr>
        <w:t>22</w:t>
      </w:r>
      <w:r>
        <w:rPr>
          <w:rFonts w:hint="eastAsia" w:ascii="楷体_GB2312" w:hAnsi="楷体_GB2312" w:eastAsia="楷体_GB2312" w:cs="楷体_GB2312"/>
          <w:bCs/>
          <w:color w:val="000000"/>
          <w:sz w:val="32"/>
          <w:szCs w:val="32"/>
        </w:rPr>
        <w:t>年一般公共预算基本支出情况说明</w:t>
      </w:r>
    </w:p>
    <w:p>
      <w:pPr>
        <w:snapToGrid w:val="0"/>
        <w:spacing w:line="540" w:lineRule="exact"/>
        <w:ind w:firstLine="642"/>
        <w:rPr>
          <w:rFonts w:ascii="仿宋_GB2312" w:eastAsia="仿宋_GB2312"/>
          <w:color w:val="auto"/>
          <w:sz w:val="32"/>
          <w:szCs w:val="32"/>
        </w:rPr>
      </w:pPr>
      <w:r>
        <w:rPr>
          <w:rFonts w:hint="eastAsia" w:ascii="仿宋_GB2312" w:eastAsia="仿宋_GB2312"/>
          <w:color w:val="auto"/>
          <w:sz w:val="32"/>
          <w:szCs w:val="32"/>
        </w:rPr>
        <w:t>莲都人民法院202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年一般公共预算基本支出</w:t>
      </w:r>
      <w:r>
        <w:rPr>
          <w:rFonts w:hint="eastAsia" w:ascii="仿宋_GB2312" w:eastAsia="仿宋_GB2312"/>
          <w:color w:val="auto"/>
          <w:sz w:val="32"/>
          <w:szCs w:val="32"/>
          <w:lang w:val="en-US" w:eastAsia="zh-CN"/>
        </w:rPr>
        <w:t>5261.35</w:t>
      </w:r>
      <w:r>
        <w:rPr>
          <w:rFonts w:hint="eastAsia" w:ascii="仿宋_GB2312" w:eastAsia="仿宋_GB2312"/>
          <w:color w:val="auto"/>
          <w:sz w:val="32"/>
          <w:szCs w:val="32"/>
        </w:rPr>
        <w:t>万元，其中：</w:t>
      </w:r>
    </w:p>
    <w:p>
      <w:pPr>
        <w:snapToGrid w:val="0"/>
        <w:spacing w:line="540" w:lineRule="exact"/>
        <w:ind w:firstLine="642"/>
        <w:rPr>
          <w:rFonts w:ascii="仿宋_GB2312" w:eastAsia="仿宋_GB2312"/>
          <w:color w:val="auto"/>
          <w:sz w:val="32"/>
          <w:szCs w:val="32"/>
        </w:rPr>
      </w:pPr>
      <w:r>
        <w:rPr>
          <w:rFonts w:hint="eastAsia" w:ascii="仿宋_GB2312" w:eastAsia="仿宋_GB2312"/>
          <w:color w:val="auto"/>
          <w:sz w:val="32"/>
          <w:szCs w:val="32"/>
        </w:rPr>
        <w:t>人员经费</w:t>
      </w:r>
      <w:r>
        <w:rPr>
          <w:rFonts w:hint="eastAsia" w:ascii="仿宋_GB2312" w:eastAsia="仿宋_GB2312"/>
          <w:color w:val="auto"/>
          <w:sz w:val="32"/>
          <w:szCs w:val="32"/>
          <w:lang w:val="en-US" w:eastAsia="zh-CN"/>
        </w:rPr>
        <w:t>4744.08</w:t>
      </w:r>
      <w:r>
        <w:rPr>
          <w:rFonts w:hint="eastAsia" w:ascii="仿宋_GB2312" w:eastAsia="仿宋_GB2312"/>
          <w:color w:val="auto"/>
          <w:sz w:val="32"/>
          <w:szCs w:val="32"/>
        </w:rPr>
        <w:t>万元，主要包括：基本工资、津贴补贴、奖金、绩效工资、机关事业单位基本养老保险缴费、职业年金缴费、职工基本医疗保险缴费、其他社会保障缴费、住房公积金、医疗费、其他工资福利支出、生活补助、其他对个人和家庭的补助</w:t>
      </w:r>
      <w:r>
        <w:rPr>
          <w:rFonts w:hint="eastAsia" w:ascii="仿宋_GB2312" w:eastAsia="仿宋_GB2312"/>
          <w:b/>
          <w:bCs/>
          <w:color w:val="auto"/>
          <w:sz w:val="32"/>
          <w:szCs w:val="32"/>
        </w:rPr>
        <w:t>。</w:t>
      </w:r>
    </w:p>
    <w:p>
      <w:pPr>
        <w:snapToGrid w:val="0"/>
        <w:spacing w:line="540" w:lineRule="exact"/>
        <w:ind w:firstLine="642"/>
        <w:rPr>
          <w:rFonts w:ascii="仿宋_GB2312" w:eastAsia="仿宋_GB2312"/>
          <w:color w:val="auto"/>
          <w:sz w:val="32"/>
          <w:szCs w:val="32"/>
        </w:rPr>
      </w:pPr>
      <w:r>
        <w:rPr>
          <w:rFonts w:hint="eastAsia" w:ascii="仿宋_GB2312" w:eastAsia="仿宋_GB2312"/>
          <w:color w:val="auto"/>
          <w:sz w:val="32"/>
          <w:szCs w:val="32"/>
        </w:rPr>
        <w:t>公用经费</w:t>
      </w:r>
      <w:r>
        <w:rPr>
          <w:rFonts w:hint="eastAsia" w:ascii="仿宋_GB2312" w:eastAsia="仿宋_GB2312"/>
          <w:color w:val="auto"/>
          <w:sz w:val="32"/>
          <w:szCs w:val="32"/>
          <w:lang w:val="en-US" w:eastAsia="zh-CN"/>
        </w:rPr>
        <w:t>517.27</w:t>
      </w:r>
      <w:r>
        <w:rPr>
          <w:rFonts w:hint="eastAsia" w:ascii="仿宋_GB2312" w:eastAsia="仿宋_GB2312"/>
          <w:color w:val="auto"/>
          <w:sz w:val="32"/>
          <w:szCs w:val="32"/>
        </w:rPr>
        <w:t>万元，主要包括：办公费、印刷费、水费、电费、邮电费、差旅费、培训费、劳务费、工会经费、福利费、公务用车运行维护费、其他交通费用、其他商品和服务支出。</w:t>
      </w:r>
    </w:p>
    <w:p>
      <w:pPr>
        <w:snapToGrid w:val="0"/>
        <w:spacing w:line="54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（七）关于莲都</w:t>
      </w:r>
      <w:r>
        <w:rPr>
          <w:rFonts w:hint="eastAsia" w:ascii="楷体_GB2312" w:hAnsi="楷体_GB2312" w:eastAsia="楷体_GB2312" w:cs="楷体_GB2312"/>
          <w:bCs/>
          <w:color w:val="000000"/>
          <w:sz w:val="32"/>
          <w:szCs w:val="32"/>
          <w:lang w:eastAsia="zh-CN"/>
        </w:rPr>
        <w:t>区</w:t>
      </w:r>
      <w:r>
        <w:rPr>
          <w:rFonts w:hint="eastAsia" w:ascii="楷体_GB2312" w:hAnsi="楷体_GB2312" w:eastAsia="楷体_GB2312" w:cs="楷体_GB2312"/>
          <w:bCs/>
          <w:color w:val="000000"/>
          <w:sz w:val="32"/>
          <w:szCs w:val="32"/>
        </w:rPr>
        <w:t>人民法院202</w:t>
      </w:r>
      <w:r>
        <w:rPr>
          <w:rFonts w:hint="eastAsia" w:ascii="楷体_GB2312" w:hAnsi="楷体_GB2312" w:eastAsia="楷体_GB2312" w:cs="楷体_GB2312"/>
          <w:bCs/>
          <w:color w:val="000000"/>
          <w:sz w:val="32"/>
          <w:szCs w:val="32"/>
          <w:lang w:val="en-US" w:eastAsia="zh-CN"/>
        </w:rPr>
        <w:t>2</w:t>
      </w:r>
      <w:r>
        <w:rPr>
          <w:rFonts w:hint="eastAsia" w:ascii="楷体_GB2312" w:hAnsi="楷体_GB2312" w:eastAsia="楷体_GB2312" w:cs="楷体_GB2312"/>
          <w:bCs/>
          <w:color w:val="000000"/>
          <w:sz w:val="32"/>
          <w:szCs w:val="32"/>
        </w:rPr>
        <w:t>年政府性基金预算支出情况说明</w:t>
      </w:r>
    </w:p>
    <w:p>
      <w:pPr>
        <w:snapToGrid w:val="0"/>
        <w:spacing w:line="540" w:lineRule="exact"/>
        <w:rPr>
          <w:rFonts w:ascii="仿宋_GB2312" w:eastAsia="仿宋_GB2312"/>
          <w:color w:val="000000"/>
          <w:sz w:val="32"/>
          <w:szCs w:val="32"/>
        </w:rPr>
      </w:pPr>
      <w:r>
        <w:rPr>
          <w:rFonts w:hint="eastAsia" w:ascii="仿宋_GB2312" w:eastAsia="仿宋_GB2312"/>
          <w:color w:val="000000"/>
          <w:sz w:val="32"/>
          <w:szCs w:val="32"/>
        </w:rPr>
        <w:t xml:space="preserve">    莲都</w:t>
      </w:r>
      <w:r>
        <w:rPr>
          <w:rFonts w:hint="eastAsia" w:ascii="仿宋_GB2312" w:eastAsia="仿宋_GB2312"/>
          <w:color w:val="000000"/>
          <w:sz w:val="32"/>
          <w:szCs w:val="32"/>
          <w:lang w:eastAsia="zh-CN"/>
        </w:rPr>
        <w:t>区</w:t>
      </w:r>
      <w:r>
        <w:rPr>
          <w:rFonts w:hint="eastAsia" w:ascii="仿宋_GB2312" w:eastAsia="仿宋_GB2312"/>
          <w:color w:val="000000"/>
          <w:sz w:val="32"/>
          <w:szCs w:val="32"/>
        </w:rPr>
        <w:t>人民法院202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年没有使用政府性基金预算拨款安排的支出。</w:t>
      </w:r>
    </w:p>
    <w:p>
      <w:pPr>
        <w:numPr>
          <w:ilvl w:val="0"/>
          <w:numId w:val="3"/>
        </w:numPr>
        <w:autoSpaceDE w:val="0"/>
        <w:autoSpaceDN w:val="0"/>
        <w:adjustRightInd w:val="0"/>
        <w:ind w:firstLine="640" w:firstLine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关于莲都区人民法院</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pStyle w:val="2"/>
        <w:numPr>
          <w:ilvl w:val="0"/>
          <w:numId w:val="0"/>
        </w:numPr>
        <w:ind w:firstLine="640" w:firstLineChars="200"/>
        <w:rPr>
          <w:rFonts w:hint="eastAsia"/>
          <w:lang w:eastAsia="zh-CN"/>
        </w:rPr>
      </w:pPr>
      <w:r>
        <w:rPr>
          <w:rFonts w:hint="eastAsia" w:ascii="仿宋_GB2312" w:eastAsia="仿宋_GB2312"/>
          <w:color w:val="000000"/>
          <w:sz w:val="32"/>
          <w:szCs w:val="32"/>
        </w:rPr>
        <w:t>莲都</w:t>
      </w:r>
      <w:r>
        <w:rPr>
          <w:rFonts w:hint="eastAsia"/>
          <w:color w:val="000000"/>
          <w:sz w:val="32"/>
          <w:szCs w:val="32"/>
          <w:lang w:eastAsia="zh-CN"/>
        </w:rPr>
        <w:t>区</w:t>
      </w:r>
      <w:r>
        <w:rPr>
          <w:rFonts w:hint="eastAsia" w:ascii="仿宋_GB2312" w:eastAsia="仿宋_GB2312"/>
          <w:color w:val="000000"/>
          <w:sz w:val="32"/>
          <w:szCs w:val="32"/>
        </w:rPr>
        <w:t>人民法院202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年没有</w:t>
      </w:r>
      <w:r>
        <w:rPr>
          <w:rFonts w:hint="eastAsia"/>
          <w:color w:val="000000"/>
          <w:sz w:val="32"/>
          <w:szCs w:val="32"/>
          <w:lang w:eastAsia="zh-CN"/>
        </w:rPr>
        <w:t>国有资本经营</w:t>
      </w:r>
      <w:r>
        <w:rPr>
          <w:rFonts w:hint="eastAsia" w:ascii="仿宋_GB2312" w:eastAsia="仿宋_GB2312"/>
          <w:color w:val="000000"/>
          <w:sz w:val="32"/>
          <w:szCs w:val="32"/>
        </w:rPr>
        <w:t>预算拨款安排的支出。</w:t>
      </w:r>
    </w:p>
    <w:p>
      <w:pPr>
        <w:snapToGrid w:val="0"/>
        <w:spacing w:line="54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w:t>
      </w:r>
      <w:r>
        <w:rPr>
          <w:rFonts w:hint="eastAsia" w:ascii="楷体_GB2312" w:hAnsi="楷体_GB2312" w:eastAsia="楷体_GB2312" w:cs="楷体_GB2312"/>
          <w:bCs/>
          <w:color w:val="000000"/>
          <w:sz w:val="32"/>
          <w:szCs w:val="32"/>
          <w:lang w:eastAsia="zh-CN"/>
        </w:rPr>
        <w:t>九</w:t>
      </w:r>
      <w:r>
        <w:rPr>
          <w:rFonts w:hint="eastAsia" w:ascii="楷体_GB2312" w:hAnsi="楷体_GB2312" w:eastAsia="楷体_GB2312" w:cs="楷体_GB2312"/>
          <w:bCs/>
          <w:color w:val="000000"/>
          <w:sz w:val="32"/>
          <w:szCs w:val="32"/>
        </w:rPr>
        <w:t>）关于莲都</w:t>
      </w:r>
      <w:r>
        <w:rPr>
          <w:rFonts w:hint="eastAsia" w:ascii="楷体_GB2312" w:hAnsi="楷体_GB2312" w:eastAsia="楷体_GB2312" w:cs="楷体_GB2312"/>
          <w:bCs/>
          <w:color w:val="000000"/>
          <w:sz w:val="32"/>
          <w:szCs w:val="32"/>
          <w:lang w:eastAsia="zh-CN"/>
        </w:rPr>
        <w:t>区</w:t>
      </w:r>
      <w:r>
        <w:rPr>
          <w:rFonts w:hint="eastAsia" w:ascii="楷体_GB2312" w:hAnsi="楷体_GB2312" w:eastAsia="楷体_GB2312" w:cs="楷体_GB2312"/>
          <w:bCs/>
          <w:color w:val="000000"/>
          <w:sz w:val="32"/>
          <w:szCs w:val="32"/>
        </w:rPr>
        <w:t>人民法院202</w:t>
      </w:r>
      <w:r>
        <w:rPr>
          <w:rFonts w:hint="eastAsia" w:ascii="楷体_GB2312" w:hAnsi="楷体_GB2312" w:eastAsia="楷体_GB2312" w:cs="楷体_GB2312"/>
          <w:bCs/>
          <w:color w:val="000000"/>
          <w:sz w:val="32"/>
          <w:szCs w:val="32"/>
          <w:lang w:val="en-US" w:eastAsia="zh-CN"/>
        </w:rPr>
        <w:t>2</w:t>
      </w:r>
      <w:r>
        <w:rPr>
          <w:rFonts w:hint="eastAsia" w:ascii="楷体_GB2312" w:hAnsi="楷体_GB2312" w:eastAsia="楷体_GB2312" w:cs="楷体_GB2312"/>
          <w:bCs/>
          <w:color w:val="000000"/>
          <w:sz w:val="32"/>
          <w:szCs w:val="32"/>
        </w:rPr>
        <w:t>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napToGrid w:val="0"/>
        <w:spacing w:line="540" w:lineRule="exact"/>
        <w:ind w:firstLine="640" w:firstLineChars="200"/>
        <w:rPr>
          <w:rFonts w:ascii="仿宋_GB2312" w:hAnsi="仿宋_GB2312" w:eastAsia="仿宋_GB2312"/>
          <w:color w:val="auto"/>
          <w:sz w:val="32"/>
        </w:rPr>
      </w:pPr>
      <w:r>
        <w:rPr>
          <w:rFonts w:hint="eastAsia" w:ascii="仿宋_GB2312" w:eastAsia="仿宋_GB2312"/>
          <w:color w:val="auto"/>
          <w:sz w:val="32"/>
          <w:szCs w:val="32"/>
        </w:rPr>
        <w:t>莲都</w:t>
      </w:r>
      <w:r>
        <w:rPr>
          <w:rFonts w:hint="eastAsia" w:ascii="仿宋_GB2312" w:eastAsia="仿宋_GB2312"/>
          <w:color w:val="auto"/>
          <w:sz w:val="32"/>
          <w:szCs w:val="32"/>
          <w:lang w:eastAsia="zh-CN"/>
        </w:rPr>
        <w:t>区</w:t>
      </w:r>
      <w:r>
        <w:rPr>
          <w:rFonts w:hint="eastAsia" w:ascii="仿宋_GB2312" w:eastAsia="仿宋_GB2312"/>
          <w:color w:val="auto"/>
          <w:sz w:val="32"/>
          <w:szCs w:val="32"/>
        </w:rPr>
        <w:t>人民法院</w:t>
      </w:r>
      <w:r>
        <w:rPr>
          <w:rFonts w:hint="eastAsia" w:ascii="仿宋_GB2312" w:hAnsi="仿宋_GB2312" w:eastAsia="仿宋_GB2312"/>
          <w:color w:val="auto"/>
          <w:sz w:val="32"/>
        </w:rPr>
        <w:t>20</w:t>
      </w:r>
      <w:r>
        <w:rPr>
          <w:rFonts w:hint="eastAsia" w:ascii="仿宋_GB2312" w:hAnsi="仿宋_GB2312" w:eastAsia="仿宋_GB2312"/>
          <w:color w:val="auto"/>
          <w:sz w:val="32"/>
          <w:lang w:val="en-US" w:eastAsia="zh-CN"/>
        </w:rPr>
        <w:t>22</w:t>
      </w:r>
      <w:r>
        <w:rPr>
          <w:rFonts w:hint="eastAsia" w:ascii="仿宋_GB2312" w:hAnsi="仿宋_GB2312" w:eastAsia="仿宋_GB2312"/>
          <w:color w:val="auto"/>
          <w:sz w:val="32"/>
        </w:rPr>
        <w:t>年“三公”经费预算数为</w:t>
      </w:r>
      <w:r>
        <w:rPr>
          <w:rFonts w:hint="eastAsia" w:ascii="仿宋_GB2312" w:eastAsia="仿宋_GB2312"/>
          <w:color w:val="auto"/>
          <w:sz w:val="32"/>
          <w:szCs w:val="32"/>
          <w:lang w:val="en-US" w:eastAsia="zh-CN"/>
        </w:rPr>
        <w:t>70.8</w:t>
      </w:r>
      <w:r>
        <w:rPr>
          <w:rFonts w:hint="eastAsia" w:ascii="仿宋_GB2312" w:hAnsi="仿宋_GB2312" w:eastAsia="仿宋_GB2312"/>
          <w:color w:val="auto"/>
          <w:sz w:val="32"/>
        </w:rPr>
        <w:t>万元，</w:t>
      </w:r>
      <w:r>
        <w:rPr>
          <w:rFonts w:hint="eastAsia" w:ascii="仿宋_GB2312" w:hAnsi="仿宋_GB2312" w:eastAsia="仿宋_GB2312"/>
          <w:color w:val="auto"/>
          <w:sz w:val="32"/>
          <w:lang w:eastAsia="zh-CN"/>
        </w:rPr>
        <w:t>比上年执行数</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1.22万元</w:t>
      </w:r>
      <w:r>
        <w:rPr>
          <w:rFonts w:hint="eastAsia" w:ascii="仿宋_GB2312" w:hAnsi="仿宋_GB2312" w:eastAsia="仿宋_GB2312"/>
          <w:color w:val="auto"/>
          <w:sz w:val="32"/>
        </w:rPr>
        <w:t>，</w:t>
      </w:r>
      <w:r>
        <w:rPr>
          <w:rFonts w:hint="eastAsia" w:ascii="仿宋_GB2312" w:hAnsi="仿宋_GB2312" w:eastAsia="仿宋_GB2312"/>
          <w:color w:val="auto"/>
          <w:sz w:val="32"/>
          <w:lang w:eastAsia="zh-CN"/>
        </w:rPr>
        <w:t>下降</w:t>
      </w:r>
      <w:r>
        <w:rPr>
          <w:rFonts w:hint="eastAsia" w:ascii="仿宋_GB2312" w:hAnsi="仿宋_GB2312" w:eastAsia="仿宋_GB2312"/>
          <w:color w:val="auto"/>
          <w:sz w:val="32"/>
          <w:lang w:val="en-US" w:eastAsia="zh-CN"/>
        </w:rPr>
        <w:t>1.69%。</w:t>
      </w:r>
      <w:r>
        <w:rPr>
          <w:rFonts w:hint="eastAsia" w:ascii="仿宋_GB2312" w:hAnsi="仿宋_GB2312" w:eastAsia="仿宋_GB2312"/>
          <w:color w:val="auto"/>
          <w:sz w:val="32"/>
        </w:rPr>
        <w:t>具体如下：</w:t>
      </w:r>
    </w:p>
    <w:p>
      <w:pPr>
        <w:snapToGrid w:val="0"/>
        <w:spacing w:line="54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1.因公出国（境）费用：</w:t>
      </w:r>
      <w:r>
        <w:rPr>
          <w:rFonts w:hint="eastAsia" w:ascii="仿宋_GB2312" w:hAnsi="仿宋_GB2312" w:eastAsia="仿宋_GB2312" w:cs="仿宋_GB2312"/>
          <w:color w:val="auto"/>
          <w:sz w:val="32"/>
          <w:szCs w:val="32"/>
        </w:rPr>
        <w:t>根据莲都区安排的因公出国计划和实际工作需要，202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安排因公出国（境）费用预算0万元，与上年执行数持平。主要用于机关及下属预算单位人员的办案等公务出国（境）的国际旅费、国外城市间交通费、住宿费、伙食费、培训费、公杂费等支出。持平的主要原因是本年未有人出国。</w:t>
      </w:r>
    </w:p>
    <w:p>
      <w:pPr>
        <w:snapToGrid w:val="0"/>
        <w:spacing w:line="54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b/>
          <w:bCs/>
          <w:color w:val="auto"/>
          <w:kern w:val="0"/>
          <w:sz w:val="32"/>
          <w:szCs w:val="32"/>
        </w:rPr>
        <w:t xml:space="preserve">  2.公务接待费：</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rPr>
        <w:t>年安排公务接待费预算</w:t>
      </w:r>
      <w:r>
        <w:rPr>
          <w:rFonts w:hint="eastAsia" w:ascii="仿宋_GB2312" w:eastAsia="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较</w:t>
      </w:r>
      <w:r>
        <w:rPr>
          <w:rFonts w:hint="eastAsia" w:ascii="仿宋_GB2312" w:hAnsi="仿宋_GB2312" w:eastAsia="仿宋_GB2312" w:cs="仿宋_GB2312"/>
          <w:b w:val="0"/>
          <w:bCs w:val="0"/>
          <w:color w:val="auto"/>
          <w:sz w:val="32"/>
          <w:szCs w:val="32"/>
        </w:rPr>
        <w:t>执行数</w:t>
      </w:r>
      <w:r>
        <w:rPr>
          <w:rFonts w:hint="eastAsia" w:ascii="仿宋_GB2312" w:hAnsi="仿宋_GB2312" w:eastAsia="仿宋_GB2312" w:cs="仿宋_GB2312"/>
          <w:b w:val="0"/>
          <w:bCs w:val="0"/>
          <w:color w:val="auto"/>
          <w:sz w:val="32"/>
          <w:szCs w:val="32"/>
          <w:lang w:eastAsia="zh-CN"/>
        </w:rPr>
        <w:t>增加</w:t>
      </w:r>
      <w:r>
        <w:rPr>
          <w:rFonts w:hint="eastAsia" w:ascii="仿宋_GB2312" w:hAnsi="仿宋_GB2312" w:eastAsia="仿宋_GB2312" w:cs="仿宋_GB2312"/>
          <w:b w:val="0"/>
          <w:bCs w:val="0"/>
          <w:color w:val="auto"/>
          <w:sz w:val="32"/>
          <w:szCs w:val="32"/>
          <w:lang w:val="en-US" w:eastAsia="zh-CN"/>
        </w:rPr>
        <w:t>2.51万元，上升45.72%，主要</w:t>
      </w:r>
      <w:r>
        <w:rPr>
          <w:rFonts w:hint="eastAsia" w:ascii="仿宋_GB2312" w:hAnsi="仿宋_GB2312" w:eastAsia="仿宋_GB2312" w:cs="仿宋_GB2312"/>
          <w:b w:val="0"/>
          <w:bCs w:val="0"/>
          <w:color w:val="auto"/>
          <w:sz w:val="32"/>
          <w:szCs w:val="32"/>
        </w:rPr>
        <w:t>用于接待上级法院、省内外其他法院及其他部门来我院的办案、交流、考察等支出。</w:t>
      </w:r>
      <w:r>
        <w:rPr>
          <w:rFonts w:hint="eastAsia" w:ascii="仿宋_GB2312" w:hAnsi="仿宋_GB2312" w:eastAsia="仿宋_GB2312" w:cs="仿宋_GB2312"/>
          <w:b w:val="0"/>
          <w:bCs w:val="0"/>
          <w:color w:val="auto"/>
          <w:sz w:val="32"/>
          <w:szCs w:val="32"/>
          <w:lang w:eastAsia="zh-CN"/>
        </w:rPr>
        <w:t>公务招待费支出增加</w:t>
      </w:r>
      <w:r>
        <w:rPr>
          <w:rFonts w:hint="eastAsia" w:ascii="仿宋_GB2312" w:hAnsi="仿宋_GB2312" w:eastAsia="仿宋_GB2312" w:cs="仿宋_GB2312"/>
          <w:b w:val="0"/>
          <w:bCs w:val="0"/>
          <w:color w:val="auto"/>
          <w:sz w:val="32"/>
          <w:szCs w:val="32"/>
        </w:rPr>
        <w:t>主要</w:t>
      </w:r>
      <w:r>
        <w:rPr>
          <w:rFonts w:hint="eastAsia" w:ascii="仿宋_GB2312" w:hAnsi="仿宋_GB2312" w:eastAsia="仿宋_GB2312" w:cs="仿宋_GB2312"/>
          <w:b w:val="0"/>
          <w:bCs w:val="0"/>
          <w:color w:val="auto"/>
          <w:sz w:val="32"/>
          <w:szCs w:val="32"/>
          <w:lang w:eastAsia="zh-CN"/>
        </w:rPr>
        <w:t>原因各级法院工作事务来往增加</w:t>
      </w:r>
      <w:r>
        <w:rPr>
          <w:rFonts w:hint="eastAsia" w:ascii="仿宋_GB2312" w:hAnsi="仿宋_GB2312" w:eastAsia="仿宋_GB2312" w:cs="仿宋_GB2312"/>
          <w:b w:val="0"/>
          <w:bCs w:val="0"/>
          <w:color w:val="auto"/>
          <w:sz w:val="32"/>
          <w:szCs w:val="32"/>
        </w:rPr>
        <w:t>。</w:t>
      </w:r>
    </w:p>
    <w:p>
      <w:pPr>
        <w:pStyle w:val="16"/>
        <w:snapToGrid w:val="0"/>
        <w:spacing w:line="54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3.公务用车购置及运行维护费：</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年安排公务用车购置及运行维护费预算</w:t>
      </w:r>
      <w:r>
        <w:rPr>
          <w:rFonts w:hint="eastAsia" w:ascii="仿宋_GB2312" w:eastAsia="仿宋_GB2312"/>
          <w:color w:val="auto"/>
          <w:sz w:val="32"/>
          <w:szCs w:val="32"/>
          <w:lang w:val="en-US" w:eastAsia="zh-CN"/>
        </w:rPr>
        <w:t>62.8</w:t>
      </w:r>
      <w:r>
        <w:rPr>
          <w:rFonts w:hint="eastAsia" w:ascii="仿宋_GB2312" w:eastAsia="仿宋_GB2312"/>
          <w:color w:val="auto"/>
          <w:sz w:val="32"/>
          <w:szCs w:val="32"/>
        </w:rPr>
        <w:t>万元，</w:t>
      </w:r>
      <w:r>
        <w:rPr>
          <w:rFonts w:hint="eastAsia" w:ascii="仿宋_GB2312" w:eastAsia="仿宋_GB2312"/>
          <w:color w:val="auto"/>
          <w:sz w:val="32"/>
          <w:szCs w:val="32"/>
          <w:lang w:eastAsia="zh-CN"/>
        </w:rPr>
        <w:t>较上年执行数减少</w:t>
      </w:r>
      <w:r>
        <w:rPr>
          <w:rFonts w:hint="eastAsia" w:ascii="仿宋_GB2312" w:eastAsia="仿宋_GB2312"/>
          <w:color w:val="auto"/>
          <w:sz w:val="32"/>
          <w:szCs w:val="32"/>
          <w:lang w:val="en-US" w:eastAsia="zh-CN"/>
        </w:rPr>
        <w:t>3.73万元，下降5.61%</w:t>
      </w:r>
      <w:r>
        <w:rPr>
          <w:rFonts w:hint="eastAsia" w:ascii="仿宋_GB2312" w:eastAsia="仿宋_GB2312"/>
          <w:color w:val="auto"/>
          <w:sz w:val="32"/>
          <w:szCs w:val="32"/>
        </w:rPr>
        <w:t>。其中，公务用车</w:t>
      </w:r>
      <w:r>
        <w:rPr>
          <w:rFonts w:hint="eastAsia" w:ascii="仿宋_GB2312" w:eastAsia="仿宋_GB2312"/>
          <w:color w:val="auto"/>
          <w:sz w:val="32"/>
          <w:szCs w:val="32"/>
          <w:lang w:eastAsia="zh-CN"/>
        </w:rPr>
        <w:t>（囚车）</w:t>
      </w:r>
      <w:r>
        <w:rPr>
          <w:rFonts w:hint="eastAsia" w:ascii="仿宋_GB2312" w:eastAsia="仿宋_GB2312"/>
          <w:color w:val="auto"/>
          <w:sz w:val="32"/>
          <w:szCs w:val="32"/>
        </w:rPr>
        <w:t>购置支出</w:t>
      </w:r>
      <w:r>
        <w:rPr>
          <w:rFonts w:hint="eastAsia" w:ascii="仿宋_GB2312" w:eastAsia="仿宋_GB2312"/>
          <w:color w:val="auto"/>
          <w:sz w:val="32"/>
          <w:szCs w:val="32"/>
          <w:lang w:val="en-US" w:eastAsia="zh-CN"/>
        </w:rPr>
        <w:t>23.8</w:t>
      </w:r>
      <w:r>
        <w:rPr>
          <w:rFonts w:hint="eastAsia" w:ascii="仿宋_GB2312" w:eastAsia="仿宋_GB2312"/>
          <w:color w:val="auto"/>
          <w:sz w:val="32"/>
          <w:szCs w:val="32"/>
        </w:rPr>
        <w:t>万元（含购置税等附加费用），主要用于经批准购置的</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辆公务用车；公务用车运行维护费支出</w:t>
      </w:r>
      <w:r>
        <w:rPr>
          <w:rFonts w:hint="eastAsia" w:ascii="仿宋_GB2312" w:eastAsia="仿宋_GB2312"/>
          <w:color w:val="auto"/>
          <w:sz w:val="32"/>
          <w:szCs w:val="32"/>
          <w:lang w:val="en-US" w:eastAsia="zh-CN"/>
        </w:rPr>
        <w:t>39</w:t>
      </w:r>
      <w:r>
        <w:rPr>
          <w:rFonts w:hint="eastAsia" w:ascii="仿宋_GB2312" w:eastAsia="仿宋_GB2312"/>
          <w:color w:val="auto"/>
          <w:sz w:val="32"/>
          <w:szCs w:val="32"/>
        </w:rPr>
        <w:t>万元，主要用于执行、审判等办案活动等所需的公务用车燃料费、维修费、过桥过路费、保险费、安全奖励费用等支出。</w:t>
      </w:r>
      <w:r>
        <w:rPr>
          <w:rFonts w:hint="eastAsia" w:ascii="仿宋_GB2312" w:eastAsia="仿宋_GB2312"/>
          <w:color w:val="auto"/>
          <w:sz w:val="32"/>
          <w:szCs w:val="32"/>
          <w:lang w:eastAsia="zh-CN"/>
        </w:rPr>
        <w:t>公务用车购置及运行维护费预算减少主要原因为公务用车购置较上年减少一辆。</w:t>
      </w:r>
    </w:p>
    <w:p>
      <w:pPr>
        <w:snapToGrid w:val="0"/>
        <w:spacing w:line="54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十</w:t>
      </w:r>
      <w:r>
        <w:rPr>
          <w:rFonts w:hint="eastAsia" w:ascii="楷体_GB2312" w:hAnsi="楷体_GB2312" w:eastAsia="楷体_GB2312" w:cs="楷体_GB2312"/>
          <w:bCs/>
          <w:sz w:val="32"/>
          <w:szCs w:val="32"/>
        </w:rPr>
        <w:t>）其他重要事项的情况说明</w:t>
      </w:r>
    </w:p>
    <w:p>
      <w:pPr>
        <w:pStyle w:val="16"/>
        <w:snapToGrid w:val="0"/>
        <w:spacing w:line="540" w:lineRule="exact"/>
        <w:ind w:firstLine="600"/>
        <w:rPr>
          <w:rFonts w:ascii="仿宋_GB2312" w:eastAsia="仿宋_GB2312"/>
          <w:b/>
          <w:bCs/>
          <w:sz w:val="32"/>
          <w:szCs w:val="32"/>
        </w:rPr>
      </w:pPr>
      <w:r>
        <w:rPr>
          <w:rFonts w:hint="eastAsia" w:ascii="仿宋_GB2312" w:eastAsia="仿宋_GB2312"/>
          <w:b/>
          <w:bCs/>
          <w:sz w:val="32"/>
          <w:szCs w:val="32"/>
        </w:rPr>
        <w:t>1.机关运行经费</w:t>
      </w:r>
    </w:p>
    <w:p>
      <w:pPr>
        <w:pStyle w:val="16"/>
        <w:snapToGrid w:val="0"/>
        <w:spacing w:line="540" w:lineRule="exact"/>
        <w:ind w:firstLine="640" w:firstLineChars="200"/>
        <w:rPr>
          <w:rFonts w:ascii="仿宋_GB2312" w:eastAsia="仿宋_GB2312"/>
          <w:color w:val="0000FF"/>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年莲都</w:t>
      </w:r>
      <w:r>
        <w:rPr>
          <w:rFonts w:hint="eastAsia" w:ascii="仿宋_GB2312" w:eastAsia="仿宋_GB2312"/>
          <w:color w:val="auto"/>
          <w:sz w:val="32"/>
          <w:szCs w:val="32"/>
          <w:lang w:eastAsia="zh-CN"/>
        </w:rPr>
        <w:t>区</w:t>
      </w:r>
      <w:r>
        <w:rPr>
          <w:rFonts w:hint="eastAsia" w:ascii="仿宋_GB2312" w:eastAsia="仿宋_GB2312"/>
          <w:color w:val="auto"/>
          <w:sz w:val="32"/>
          <w:szCs w:val="32"/>
        </w:rPr>
        <w:t>人民法院本级机关运行经费财政拨款预算</w:t>
      </w:r>
      <w:r>
        <w:rPr>
          <w:rFonts w:hint="eastAsia" w:ascii="仿宋_GB2312" w:eastAsia="仿宋_GB2312"/>
          <w:color w:val="auto"/>
          <w:sz w:val="32"/>
          <w:szCs w:val="32"/>
          <w:lang w:val="en-US" w:eastAsia="zh-CN"/>
        </w:rPr>
        <w:t>473.94</w:t>
      </w:r>
      <w:r>
        <w:rPr>
          <w:rFonts w:hint="eastAsia" w:ascii="仿宋_GB2312" w:eastAsia="仿宋_GB2312"/>
          <w:color w:val="auto"/>
          <w:sz w:val="32"/>
          <w:szCs w:val="32"/>
        </w:rPr>
        <w:t>万元，比</w:t>
      </w:r>
      <w:r>
        <w:rPr>
          <w:rFonts w:hint="eastAsia" w:ascii="仿宋_GB2312" w:eastAsia="仿宋_GB2312"/>
          <w:color w:val="auto"/>
          <w:sz w:val="32"/>
          <w:szCs w:val="32"/>
          <w:lang w:val="en-US" w:eastAsia="zh-CN"/>
        </w:rPr>
        <w:t>2021</w:t>
      </w:r>
      <w:r>
        <w:rPr>
          <w:rFonts w:hint="eastAsia" w:ascii="仿宋_GB2312" w:eastAsia="仿宋_GB2312"/>
          <w:color w:val="auto"/>
          <w:sz w:val="32"/>
          <w:szCs w:val="32"/>
        </w:rPr>
        <w:t>年预算</w:t>
      </w:r>
      <w:r>
        <w:rPr>
          <w:rFonts w:hint="eastAsia" w:ascii="仿宋_GB2312" w:eastAsia="仿宋_GB2312"/>
          <w:color w:val="auto"/>
          <w:sz w:val="32"/>
          <w:szCs w:val="32"/>
          <w:lang w:eastAsia="zh-CN"/>
        </w:rPr>
        <w:t>减少</w:t>
      </w:r>
      <w:r>
        <w:rPr>
          <w:rFonts w:hint="eastAsia" w:ascii="仿宋_GB2312" w:eastAsia="仿宋_GB2312"/>
          <w:color w:val="auto"/>
          <w:sz w:val="32"/>
          <w:szCs w:val="32"/>
          <w:lang w:val="en-US" w:eastAsia="zh-CN"/>
        </w:rPr>
        <w:t>12.06</w:t>
      </w:r>
      <w:r>
        <w:rPr>
          <w:rFonts w:hint="eastAsia" w:ascii="仿宋_GB2312" w:eastAsia="仿宋_GB2312"/>
          <w:color w:val="auto"/>
          <w:sz w:val="32"/>
          <w:szCs w:val="32"/>
        </w:rPr>
        <w:t>万元</w:t>
      </w:r>
      <w:r>
        <w:rPr>
          <w:rFonts w:hint="eastAsia" w:ascii="仿宋_GB2312" w:hAnsi="仿宋_GB2312" w:eastAsia="仿宋_GB2312"/>
          <w:color w:val="auto"/>
          <w:kern w:val="2"/>
          <w:sz w:val="32"/>
          <w:szCs w:val="20"/>
        </w:rPr>
        <w:t>，</w:t>
      </w:r>
      <w:r>
        <w:rPr>
          <w:rFonts w:hint="eastAsia" w:ascii="仿宋_GB2312" w:hAnsi="仿宋_GB2312" w:eastAsia="仿宋_GB2312"/>
          <w:color w:val="auto"/>
          <w:kern w:val="2"/>
          <w:sz w:val="32"/>
          <w:szCs w:val="20"/>
          <w:lang w:eastAsia="zh-CN"/>
        </w:rPr>
        <w:t>下降</w:t>
      </w:r>
      <w:r>
        <w:rPr>
          <w:rFonts w:hint="eastAsia" w:ascii="仿宋_GB2312" w:hAnsi="仿宋_GB2312" w:eastAsia="仿宋_GB2312"/>
          <w:color w:val="auto"/>
          <w:kern w:val="2"/>
          <w:sz w:val="32"/>
          <w:szCs w:val="20"/>
          <w:lang w:val="en-US" w:eastAsia="zh-CN"/>
        </w:rPr>
        <w:t>2.48</w:t>
      </w:r>
      <w:r>
        <w:rPr>
          <w:rFonts w:hint="eastAsia" w:ascii="仿宋_GB2312" w:hAnsi="仿宋_GB2312" w:eastAsia="仿宋_GB2312"/>
          <w:color w:val="auto"/>
          <w:kern w:val="2"/>
          <w:sz w:val="32"/>
          <w:szCs w:val="20"/>
        </w:rPr>
        <w:t>%，主要是</w:t>
      </w:r>
      <w:r>
        <w:rPr>
          <w:rFonts w:hint="eastAsia" w:ascii="仿宋_GB2312" w:hAnsi="仿宋_GB2312" w:eastAsia="仿宋_GB2312"/>
          <w:color w:val="auto"/>
          <w:kern w:val="2"/>
          <w:sz w:val="32"/>
          <w:szCs w:val="20"/>
          <w:lang w:eastAsia="zh-CN"/>
        </w:rPr>
        <w:t>正式在编人数减少，总体的公用经费相对减少</w:t>
      </w:r>
      <w:r>
        <w:rPr>
          <w:rFonts w:hint="eastAsia" w:ascii="仿宋_GB2312" w:eastAsia="仿宋_GB2312"/>
          <w:color w:val="auto"/>
          <w:sz w:val="32"/>
          <w:szCs w:val="32"/>
        </w:rPr>
        <w:t>。</w:t>
      </w:r>
    </w:p>
    <w:p>
      <w:pPr>
        <w:pStyle w:val="16"/>
        <w:numPr>
          <w:ilvl w:val="0"/>
          <w:numId w:val="4"/>
        </w:numPr>
        <w:snapToGrid w:val="0"/>
        <w:spacing w:line="540" w:lineRule="exact"/>
        <w:ind w:firstLine="600"/>
        <w:rPr>
          <w:rFonts w:ascii="仿宋_GB2312" w:eastAsia="仿宋_GB2312"/>
          <w:b/>
          <w:bCs/>
          <w:sz w:val="32"/>
          <w:szCs w:val="32"/>
        </w:rPr>
      </w:pPr>
      <w:r>
        <w:rPr>
          <w:rFonts w:hint="eastAsia" w:ascii="仿宋_GB2312" w:eastAsia="仿宋_GB2312"/>
          <w:b/>
          <w:bCs/>
          <w:sz w:val="32"/>
          <w:szCs w:val="32"/>
        </w:rPr>
        <w:t>政府采购情况</w:t>
      </w:r>
    </w:p>
    <w:p>
      <w:pPr>
        <w:pStyle w:val="16"/>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2022</w:t>
      </w:r>
      <w:r>
        <w:rPr>
          <w:rFonts w:hint="eastAsia" w:ascii="仿宋_GB2312" w:eastAsia="仿宋_GB2312"/>
          <w:color w:val="auto"/>
          <w:sz w:val="32"/>
          <w:szCs w:val="32"/>
        </w:rPr>
        <w:t>年莲都</w:t>
      </w:r>
      <w:r>
        <w:rPr>
          <w:rFonts w:hint="eastAsia" w:ascii="仿宋_GB2312" w:eastAsia="仿宋_GB2312"/>
          <w:color w:val="auto"/>
          <w:sz w:val="32"/>
          <w:szCs w:val="32"/>
          <w:lang w:eastAsia="zh-CN"/>
        </w:rPr>
        <w:t>区</w:t>
      </w:r>
      <w:r>
        <w:rPr>
          <w:rFonts w:hint="eastAsia" w:ascii="仿宋_GB2312" w:eastAsia="仿宋_GB2312"/>
          <w:color w:val="auto"/>
          <w:sz w:val="32"/>
          <w:szCs w:val="32"/>
        </w:rPr>
        <w:t>人民法院各单位政府采购预算总额</w:t>
      </w:r>
      <w:r>
        <w:rPr>
          <w:rFonts w:hint="eastAsia" w:ascii="仿宋_GB2312" w:eastAsia="仿宋_GB2312"/>
          <w:color w:val="auto"/>
          <w:sz w:val="32"/>
          <w:szCs w:val="32"/>
          <w:lang w:val="en-US" w:eastAsia="zh-CN"/>
        </w:rPr>
        <w:t>413.8</w:t>
      </w:r>
      <w:r>
        <w:rPr>
          <w:rFonts w:hint="eastAsia" w:ascii="仿宋_GB2312" w:eastAsia="仿宋_GB2312"/>
          <w:color w:val="auto"/>
          <w:sz w:val="32"/>
          <w:szCs w:val="32"/>
        </w:rPr>
        <w:t>万元，其中：政府采购货物预算</w:t>
      </w:r>
      <w:r>
        <w:rPr>
          <w:rFonts w:hint="eastAsia" w:ascii="仿宋_GB2312" w:eastAsia="仿宋_GB2312"/>
          <w:color w:val="auto"/>
          <w:sz w:val="32"/>
          <w:szCs w:val="32"/>
          <w:lang w:val="en-US" w:eastAsia="zh-CN"/>
        </w:rPr>
        <w:t>63.8</w:t>
      </w:r>
      <w:r>
        <w:rPr>
          <w:rFonts w:hint="eastAsia" w:ascii="仿宋_GB2312" w:eastAsia="仿宋_GB2312"/>
          <w:color w:val="auto"/>
          <w:sz w:val="32"/>
          <w:szCs w:val="32"/>
        </w:rPr>
        <w:t>万元、政府采购工程预算</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万元、政府采购服务预算</w:t>
      </w:r>
      <w:r>
        <w:rPr>
          <w:rFonts w:hint="eastAsia" w:ascii="仿宋_GB2312" w:eastAsia="仿宋_GB2312"/>
          <w:color w:val="auto"/>
          <w:sz w:val="32"/>
          <w:szCs w:val="32"/>
          <w:lang w:val="en-US" w:eastAsia="zh-CN"/>
        </w:rPr>
        <w:t>350</w:t>
      </w:r>
      <w:r>
        <w:rPr>
          <w:rFonts w:hint="eastAsia" w:ascii="仿宋_GB2312" w:eastAsia="仿宋_GB2312"/>
          <w:color w:val="auto"/>
          <w:sz w:val="32"/>
          <w:szCs w:val="32"/>
        </w:rPr>
        <w:t>万元。</w:t>
      </w:r>
    </w:p>
    <w:p>
      <w:pPr>
        <w:pStyle w:val="16"/>
        <w:snapToGrid w:val="0"/>
        <w:spacing w:line="54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pPr>
        <w:snapToGrid w:val="0"/>
        <w:spacing w:line="540" w:lineRule="exact"/>
        <w:ind w:firstLine="640"/>
        <w:jc w:val="left"/>
        <w:rPr>
          <w:rFonts w:ascii="仿宋_GB2312" w:hAnsi="仿宋_GB2312" w:eastAsia="仿宋_GB2312" w:cs="仿宋_GB2312"/>
          <w:color w:val="0000FF"/>
          <w:sz w:val="32"/>
          <w:szCs w:val="32"/>
        </w:rPr>
      </w:pPr>
      <w:r>
        <w:rPr>
          <w:rFonts w:hint="eastAsia" w:ascii="仿宋_GB2312" w:hAnsi="仿宋_GB2312" w:eastAsia="仿宋_GB2312" w:cs="仿宋_GB2312"/>
          <w:color w:val="auto"/>
          <w:spacing w:val="6"/>
          <w:sz w:val="32"/>
          <w:szCs w:val="32"/>
          <w:highlight w:val="none"/>
          <w:u w:val="none"/>
          <w:lang w:val="en-US" w:eastAsia="zh-CN"/>
        </w:rPr>
        <w:t>截至2021年12月31日，</w:t>
      </w:r>
      <w:r>
        <w:rPr>
          <w:rFonts w:hint="eastAsia" w:ascii="仿宋_GB2312" w:hAnsi="仿宋_GB2312" w:eastAsia="仿宋_GB2312" w:cs="仿宋_GB2312"/>
          <w:color w:val="auto"/>
          <w:spacing w:val="6"/>
          <w:sz w:val="32"/>
          <w:szCs w:val="32"/>
        </w:rPr>
        <w:t>莲都</w:t>
      </w:r>
      <w:r>
        <w:rPr>
          <w:rFonts w:hint="eastAsia" w:ascii="仿宋_GB2312" w:hAnsi="仿宋_GB2312" w:eastAsia="仿宋_GB2312" w:cs="仿宋_GB2312"/>
          <w:color w:val="auto"/>
          <w:spacing w:val="6"/>
          <w:sz w:val="32"/>
          <w:szCs w:val="32"/>
          <w:lang w:eastAsia="zh-CN"/>
        </w:rPr>
        <w:t>区</w:t>
      </w:r>
      <w:r>
        <w:rPr>
          <w:rFonts w:hint="eastAsia" w:ascii="仿宋_GB2312" w:hAnsi="仿宋_GB2312" w:eastAsia="仿宋_GB2312" w:cs="仿宋_GB2312"/>
          <w:color w:val="auto"/>
          <w:spacing w:val="6"/>
          <w:sz w:val="32"/>
          <w:szCs w:val="32"/>
        </w:rPr>
        <w:t>人民法院</w:t>
      </w:r>
      <w:r>
        <w:rPr>
          <w:rFonts w:hint="eastAsia" w:ascii="仿宋_GB2312" w:hAnsi="仿宋_GB2312" w:eastAsia="仿宋_GB2312" w:cs="仿宋_GB2312"/>
          <w:color w:val="auto"/>
          <w:spacing w:val="6"/>
          <w:sz w:val="32"/>
          <w:szCs w:val="32"/>
          <w:highlight w:val="none"/>
          <w:lang w:eastAsia="zh-CN"/>
        </w:rPr>
        <w:t>所属各预算单位共有车辆</w:t>
      </w:r>
      <w:r>
        <w:rPr>
          <w:rFonts w:hint="eastAsia" w:ascii="仿宋_GB2312" w:hAnsi="仿宋_GB2312" w:eastAsia="仿宋_GB2312" w:cs="仿宋_GB2312"/>
          <w:color w:val="auto"/>
          <w:sz w:val="32"/>
          <w:szCs w:val="32"/>
          <w:highlight w:val="none"/>
          <w:lang w:val="en-US" w:eastAsia="zh-CN"/>
        </w:rPr>
        <w:t>13辆，其中，区级领导用车0辆、机要通信用车及应急保障用车1辆、执法执勤用车12辆、特种专业技术用车0辆、老干部服务用车0辆、行政执法专用车0辆。单位价值50万元以上通用设备1台，单位价值100万元以上专用设备0台。</w:t>
      </w:r>
      <w:r>
        <w:rPr>
          <w:rFonts w:hint="eastAsia" w:ascii="仿宋_GB2312" w:hAnsi="仿宋_GB2312" w:eastAsia="仿宋_GB2312" w:cs="仿宋_GB2312"/>
          <w:color w:val="0000FF"/>
          <w:sz w:val="32"/>
          <w:szCs w:val="32"/>
        </w:rPr>
        <w:t xml:space="preserve"> </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2022年部门预算安排购置车辆1辆。其中，执法执勤用车1辆。2022年部门预算未安排购置单位价值50万元以上通用设备及单位价值100万元以上专用设备。</w:t>
      </w:r>
    </w:p>
    <w:p>
      <w:pPr>
        <w:pStyle w:val="16"/>
        <w:snapToGrid w:val="0"/>
        <w:spacing w:line="540" w:lineRule="exact"/>
        <w:rPr>
          <w:rFonts w:ascii="仿宋_GB2312" w:eastAsia="仿宋_GB2312"/>
          <w:b/>
          <w:bCs/>
          <w:sz w:val="32"/>
          <w:szCs w:val="32"/>
        </w:rPr>
      </w:pPr>
      <w:r>
        <w:rPr>
          <w:rFonts w:hint="eastAsia" w:ascii="仿宋_GB2312" w:eastAsia="仿宋_GB2312"/>
          <w:b/>
          <w:bCs/>
          <w:sz w:val="32"/>
          <w:szCs w:val="32"/>
        </w:rPr>
        <w:t xml:space="preserve">    4.绩效目标设置情况</w:t>
      </w:r>
    </w:p>
    <w:p>
      <w:pPr>
        <w:snapToGrid w:val="0"/>
        <w:spacing w:line="540" w:lineRule="exact"/>
        <w:ind w:firstLine="640" w:firstLineChars="200"/>
        <w:rPr>
          <w:rFonts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年莲都</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人民法院所有项目均实行绩效目标管理，涉及一般公共预算当年拨款</w:t>
      </w:r>
      <w:r>
        <w:rPr>
          <w:rFonts w:hint="eastAsia" w:ascii="仿宋_GB2312" w:hAnsi="仿宋_GB2312" w:eastAsia="仿宋_GB2312" w:cs="仿宋_GB2312"/>
          <w:color w:val="auto"/>
          <w:sz w:val="32"/>
          <w:szCs w:val="32"/>
          <w:lang w:val="en-US" w:eastAsia="zh-CN"/>
        </w:rPr>
        <w:t>1256.17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，一级项目</w:t>
      </w:r>
      <w:r>
        <w:rPr>
          <w:rFonts w:hint="eastAsia" w:ascii="仿宋_GB2312" w:hAnsi="仿宋_GB2312" w:eastAsia="仿宋_GB2312" w:cs="仿宋_GB2312"/>
          <w:color w:val="auto"/>
          <w:sz w:val="32"/>
          <w:szCs w:val="32"/>
          <w:lang w:val="en-US" w:eastAsia="zh-CN"/>
        </w:rPr>
        <w:t>4个，分别为：政法奖励性补助资金、区补办案经费、物业管理费、区本级基本支出</w:t>
      </w:r>
      <w:r>
        <w:rPr>
          <w:rFonts w:hint="eastAsia" w:ascii="仿宋_GB2312" w:hAnsi="仿宋_GB2312" w:eastAsia="仿宋_GB2312" w:cs="仿宋_GB2312"/>
          <w:color w:val="auto"/>
          <w:sz w:val="32"/>
          <w:szCs w:val="32"/>
        </w:rPr>
        <w:t>。</w:t>
      </w:r>
    </w:p>
    <w:p>
      <w:pPr>
        <w:pStyle w:val="16"/>
        <w:snapToGrid w:val="0"/>
        <w:spacing w:line="540" w:lineRule="exact"/>
        <w:ind w:firstLine="640" w:firstLineChars="200"/>
        <w:rPr>
          <w:rStyle w:val="11"/>
          <w:rFonts w:ascii="黑体" w:hAnsi="黑体" w:eastAsia="黑体" w:cs="黑体"/>
          <w:b w:val="0"/>
          <w:bCs w:val="0"/>
          <w:sz w:val="32"/>
          <w:szCs w:val="32"/>
        </w:rPr>
      </w:pPr>
      <w:r>
        <w:rPr>
          <w:rStyle w:val="11"/>
          <w:rFonts w:hint="eastAsia" w:ascii="黑体" w:hAnsi="黑体" w:eastAsia="黑体" w:cs="黑体"/>
          <w:b w:val="0"/>
          <w:bCs w:val="0"/>
          <w:sz w:val="32"/>
          <w:szCs w:val="32"/>
        </w:rPr>
        <w:t>三、名词解释</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1.财政拨款收入：</w:t>
      </w:r>
      <w:r>
        <w:rPr>
          <w:rFonts w:hint="eastAsia" w:ascii="仿宋_GB2312" w:hAnsi="仿宋_GB2312" w:eastAsia="仿宋_GB2312" w:cs="仿宋_GB2312"/>
          <w:sz w:val="32"/>
          <w:szCs w:val="32"/>
        </w:rPr>
        <w:t>本级财政部门当年拨付的财政预算资金，包括一般公共预算财政拨款和政府性基金预算财政拨款。</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2.专户资金:</w:t>
      </w:r>
      <w:r>
        <w:rPr>
          <w:rFonts w:hint="eastAsia" w:ascii="仿宋_GB2312" w:hAnsi="仿宋_GB2312" w:eastAsia="仿宋_GB2312" w:cs="仿宋_GB2312"/>
          <w:sz w:val="32"/>
          <w:szCs w:val="32"/>
        </w:rPr>
        <w:t>教育收费作为本部门的事业收入，纳入财政专户管理的资金。</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3.事业收入：</w:t>
      </w:r>
      <w:r>
        <w:rPr>
          <w:rFonts w:hint="eastAsia" w:ascii="仿宋_GB2312" w:hAnsi="仿宋_GB2312" w:eastAsia="仿宋_GB2312" w:cs="仿宋_GB2312"/>
          <w:sz w:val="32"/>
          <w:szCs w:val="32"/>
        </w:rPr>
        <w:t>事业单位开展专业业务活动及辅助活动所取得的收入，不含专户资金收入。</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4.事业单位经营收入：</w:t>
      </w:r>
      <w:r>
        <w:rPr>
          <w:rFonts w:hint="eastAsia" w:ascii="仿宋_GB2312" w:hAnsi="仿宋_GB2312" w:eastAsia="仿宋_GB2312" w:cs="仿宋_GB2312"/>
          <w:sz w:val="32"/>
          <w:szCs w:val="32"/>
        </w:rPr>
        <w:t>事业单位在专业业务活动及辅助活动之外开展非独立核算经营活动取得的收入。</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5.其他收入：</w:t>
      </w:r>
      <w:r>
        <w:rPr>
          <w:rFonts w:hint="eastAsia" w:ascii="仿宋_GB2312" w:hAnsi="仿宋_GB2312" w:eastAsia="仿宋_GB2312" w:cs="仿宋_GB2312"/>
          <w:sz w:val="32"/>
          <w:szCs w:val="32"/>
        </w:rPr>
        <w:t>预算单位在“一般公共预算”“政府性基金”“专户资金”“事业收入”“事业单位经营收入”等之外取得的各项收入（含上级补助收入和附属单位缴款等收入）。</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6.用事业基金弥补收支差额：</w:t>
      </w:r>
      <w:r>
        <w:rPr>
          <w:rFonts w:hint="eastAsia" w:ascii="仿宋_GB2312" w:hAnsi="仿宋_GB2312" w:eastAsia="仿宋_GB2312" w:cs="仿宋_GB2312"/>
          <w:sz w:val="32"/>
          <w:szCs w:val="32"/>
        </w:rPr>
        <w:t>指事业单位在预计用当年的“财政拨款收入”“专户资金”“事业收入”“事业单位经营收入”“其他收入”“上年结转”等不足以安排当年支出的情况下，使用以前年度积累的事业基金弥补本年收支缺口的资金。</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7.上年结转：</w:t>
      </w:r>
      <w:r>
        <w:rPr>
          <w:rFonts w:hint="eastAsia" w:ascii="仿宋_GB2312" w:hAnsi="仿宋_GB2312" w:eastAsia="仿宋_GB2312" w:cs="仿宋_GB2312"/>
          <w:sz w:val="32"/>
          <w:szCs w:val="32"/>
        </w:rPr>
        <w:t>指以前年度尚未完成、结转到本年仍按原规定用途继续使用的资金。</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8.基本支出：</w:t>
      </w:r>
      <w:r>
        <w:rPr>
          <w:rFonts w:hint="eastAsia" w:ascii="仿宋_GB2312" w:hAnsi="仿宋_GB2312" w:eastAsia="仿宋_GB2312" w:cs="仿宋_GB2312"/>
          <w:sz w:val="32"/>
          <w:szCs w:val="32"/>
        </w:rPr>
        <w:t>是预算单位为保障其正常运转，完成日常工作任务所发生的支出，包括人员支出和日常公用支出。</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9.项目支出：</w:t>
      </w:r>
      <w:r>
        <w:rPr>
          <w:rFonts w:hint="eastAsia" w:ascii="仿宋_GB2312" w:hAnsi="仿宋_GB2312" w:eastAsia="仿宋_GB2312" w:cs="仿宋_GB2312"/>
          <w:sz w:val="32"/>
          <w:szCs w:val="32"/>
        </w:rPr>
        <w:t>是预算单位为完成其特定的行政工作任务或事业发展目标所发生的支出。</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10.经营支出：</w:t>
      </w:r>
      <w:r>
        <w:rPr>
          <w:rFonts w:hint="eastAsia" w:ascii="仿宋_GB2312" w:hAnsi="仿宋_GB2312" w:eastAsia="仿宋_GB2312" w:cs="仿宋_GB2312"/>
          <w:sz w:val="32"/>
          <w:szCs w:val="32"/>
        </w:rPr>
        <w:t>指事业单位在专业业务活动及其辅助活动之外开展非独立核算经营活动发生的支出。</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11.“三公”经费：</w:t>
      </w:r>
      <w:r>
        <w:rPr>
          <w:rFonts w:hint="eastAsia" w:ascii="仿宋_GB2312" w:hAnsi="仿宋_GB2312" w:eastAsia="仿宋_GB2312" w:cs="仿宋_GB2312"/>
          <w:sz w:val="32"/>
          <w:szCs w:val="32"/>
        </w:rPr>
        <w:t>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安全奖励费用等支出；公务接待费反映单位按规定开支的各类公务接待（含外宾接待）支出。</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12.机关运行经费：</w:t>
      </w:r>
      <w:r>
        <w:rPr>
          <w:rFonts w:hint="eastAsia" w:ascii="仿宋_GB2312" w:hAnsi="仿宋_GB2312" w:eastAsia="仿宋_GB2312" w:cs="仿宋_GB2312"/>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_GB2312" w:eastAsia="仿宋_GB2312"/>
          <w:sz w:val="32"/>
          <w:szCs w:val="32"/>
        </w:rPr>
      </w:pPr>
      <w:r>
        <w:rPr>
          <w:rFonts w:hint="eastAsia" w:ascii="仿宋_GB2312" w:hAnsi="仿宋_GB2312" w:eastAsia="仿宋_GB2312" w:cs="仿宋_GB2312"/>
          <w:b/>
          <w:bCs/>
          <w:sz w:val="32"/>
          <w:szCs w:val="32"/>
        </w:rPr>
        <w:t>13.公共安全支出（类）法院（款）行政运行（项）：</w:t>
      </w:r>
      <w:r>
        <w:rPr>
          <w:rFonts w:hint="eastAsia" w:ascii="仿宋_GB2312" w:eastAsia="仿宋_GB2312"/>
          <w:sz w:val="32"/>
          <w:szCs w:val="32"/>
        </w:rPr>
        <w:t>指院的基本支出。</w:t>
      </w:r>
    </w:p>
    <w:p>
      <w:pPr>
        <w:ind w:firstLine="643" w:firstLineChars="200"/>
        <w:rPr>
          <w:rFonts w:ascii="仿宋_GB2312" w:eastAsia="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.公共安全支出（类）法院（款）机关服务（项）：</w:t>
      </w:r>
      <w:r>
        <w:rPr>
          <w:rFonts w:hint="eastAsia" w:ascii="仿宋_GB2312" w:eastAsia="仿宋_GB2312"/>
          <w:sz w:val="32"/>
          <w:szCs w:val="32"/>
        </w:rPr>
        <w:t>指法院用于物业管理费支出。</w:t>
      </w:r>
    </w:p>
    <w:p>
      <w:pPr>
        <w:ind w:firstLine="643" w:firstLineChars="200"/>
        <w:rPr>
          <w:rFonts w:ascii="仿宋_GB2312" w:eastAsia="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.公共安全支出（类）法院（款）其他法院支出（项）：</w:t>
      </w:r>
      <w:r>
        <w:rPr>
          <w:rFonts w:hint="eastAsia" w:ascii="仿宋_GB2312" w:eastAsia="仿宋_GB2312"/>
          <w:sz w:val="32"/>
          <w:szCs w:val="32"/>
        </w:rPr>
        <w:t>指法院除上述项目以外其他支出。</w:t>
      </w:r>
    </w:p>
    <w:p>
      <w:pPr>
        <w:ind w:firstLine="643" w:firstLineChars="200"/>
        <w:rPr>
          <w:rFonts w:ascii="仿宋_GB2312" w:eastAsia="仿宋_GB2312"/>
          <w:sz w:val="32"/>
          <w:szCs w:val="32"/>
        </w:rPr>
      </w:pP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b/>
          <w:bCs/>
          <w:sz w:val="32"/>
          <w:szCs w:val="32"/>
        </w:rPr>
        <w:t>.社会保障和就业支出（类）行政事业单位</w:t>
      </w:r>
      <w:r>
        <w:rPr>
          <w:rFonts w:hint="eastAsia" w:ascii="仿宋_GB2312" w:hAnsi="仿宋_GB2312" w:eastAsia="仿宋_GB2312" w:cs="仿宋_GB2312"/>
          <w:b/>
          <w:bCs/>
          <w:sz w:val="32"/>
          <w:szCs w:val="32"/>
          <w:lang w:eastAsia="zh-CN"/>
        </w:rPr>
        <w:t>养老支出</w:t>
      </w:r>
      <w:r>
        <w:rPr>
          <w:rFonts w:hint="eastAsia" w:ascii="仿宋_GB2312" w:hAnsi="仿宋_GB2312" w:eastAsia="仿宋_GB2312" w:cs="仿宋_GB2312"/>
          <w:b/>
          <w:bCs/>
          <w:sz w:val="32"/>
          <w:szCs w:val="32"/>
        </w:rPr>
        <w:t>（款）机关事业单位基本养老保险缴费支出（项）：</w:t>
      </w:r>
      <w:r>
        <w:rPr>
          <w:rFonts w:hint="eastAsia" w:ascii="仿宋_GB2312" w:eastAsia="仿宋_GB2312"/>
          <w:sz w:val="32"/>
          <w:szCs w:val="32"/>
        </w:rPr>
        <w:t>指单位缴纳的基本养老保险费支出；</w:t>
      </w:r>
    </w:p>
    <w:p>
      <w:pPr>
        <w:ind w:firstLine="643" w:firstLineChars="200"/>
        <w:rPr>
          <w:rFonts w:ascii="仿宋_GB2312" w:eastAsia="仿宋_GB2312"/>
          <w:sz w:val="32"/>
          <w:szCs w:val="32"/>
        </w:rPr>
      </w:pP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rPr>
        <w:t>.社会保障和就业支出（类）行政事业单位</w:t>
      </w:r>
      <w:r>
        <w:rPr>
          <w:rFonts w:hint="eastAsia" w:ascii="仿宋_GB2312" w:hAnsi="仿宋_GB2312" w:eastAsia="仿宋_GB2312" w:cs="仿宋_GB2312"/>
          <w:b/>
          <w:bCs/>
          <w:sz w:val="32"/>
          <w:szCs w:val="32"/>
          <w:lang w:eastAsia="zh-CN"/>
        </w:rPr>
        <w:t>养老支出</w:t>
      </w:r>
      <w:r>
        <w:rPr>
          <w:rFonts w:hint="eastAsia" w:ascii="仿宋_GB2312" w:hAnsi="仿宋_GB2312" w:eastAsia="仿宋_GB2312" w:cs="仿宋_GB2312"/>
          <w:b/>
          <w:bCs/>
          <w:sz w:val="32"/>
          <w:szCs w:val="32"/>
        </w:rPr>
        <w:t>（款）机关事业单位职业年金缴费支出（项）：</w:t>
      </w:r>
      <w:r>
        <w:rPr>
          <w:rFonts w:hint="eastAsia" w:ascii="仿宋_GB2312" w:eastAsia="仿宋_GB2312"/>
          <w:sz w:val="32"/>
          <w:szCs w:val="32"/>
        </w:rPr>
        <w:t>指单位实际缴纳职业年金支出；</w:t>
      </w:r>
    </w:p>
    <w:p>
      <w:pPr>
        <w:ind w:firstLine="643" w:firstLineChars="200"/>
        <w:rPr>
          <w:rFonts w:ascii="仿宋_GB2312" w:eastAsia="仿宋_GB2312"/>
          <w:sz w:val="32"/>
          <w:szCs w:val="32"/>
        </w:rPr>
      </w:pPr>
      <w:r>
        <w:rPr>
          <w:rFonts w:hint="eastAsia" w:ascii="仿宋_GB2312" w:hAnsi="仿宋_GB2312" w:eastAsia="仿宋_GB2312" w:cs="仿宋_GB2312"/>
          <w:b/>
          <w:bCs/>
          <w:sz w:val="32"/>
          <w:szCs w:val="32"/>
          <w:lang w:val="en-US" w:eastAsia="zh-CN"/>
        </w:rPr>
        <w:t>18</w:t>
      </w:r>
      <w:r>
        <w:rPr>
          <w:rFonts w:hint="eastAsia" w:ascii="仿宋_GB2312" w:hAnsi="仿宋_GB2312" w:eastAsia="仿宋_GB2312" w:cs="仿宋_GB2312"/>
          <w:b/>
          <w:bCs/>
          <w:sz w:val="32"/>
          <w:szCs w:val="32"/>
        </w:rPr>
        <w:t>.社会保障和就业支出（类）行政事业单位</w:t>
      </w:r>
      <w:r>
        <w:rPr>
          <w:rFonts w:hint="eastAsia" w:ascii="仿宋_GB2312" w:hAnsi="仿宋_GB2312" w:eastAsia="仿宋_GB2312" w:cs="仿宋_GB2312"/>
          <w:b/>
          <w:bCs/>
          <w:sz w:val="32"/>
          <w:szCs w:val="32"/>
          <w:lang w:eastAsia="zh-CN"/>
        </w:rPr>
        <w:t>养老支出</w:t>
      </w:r>
      <w:r>
        <w:rPr>
          <w:rFonts w:hint="eastAsia" w:ascii="仿宋_GB2312" w:hAnsi="仿宋_GB2312" w:eastAsia="仿宋_GB2312" w:cs="仿宋_GB2312"/>
          <w:b/>
          <w:bCs/>
          <w:sz w:val="32"/>
          <w:szCs w:val="32"/>
        </w:rPr>
        <w:t>（款）其他行政事业单位</w:t>
      </w:r>
      <w:r>
        <w:rPr>
          <w:rFonts w:hint="eastAsia" w:ascii="仿宋_GB2312" w:hAnsi="仿宋_GB2312" w:eastAsia="仿宋_GB2312" w:cs="仿宋_GB2312"/>
          <w:b/>
          <w:bCs/>
          <w:sz w:val="32"/>
          <w:szCs w:val="32"/>
          <w:lang w:eastAsia="zh-CN"/>
        </w:rPr>
        <w:t>养老</w:t>
      </w:r>
      <w:r>
        <w:rPr>
          <w:rFonts w:hint="eastAsia" w:ascii="仿宋_GB2312" w:hAnsi="仿宋_GB2312" w:eastAsia="仿宋_GB2312" w:cs="仿宋_GB2312"/>
          <w:b/>
          <w:bCs/>
          <w:sz w:val="32"/>
          <w:szCs w:val="32"/>
        </w:rPr>
        <w:t>支出（项）：</w:t>
      </w:r>
      <w:r>
        <w:rPr>
          <w:rFonts w:hint="eastAsia" w:ascii="仿宋_GB2312" w:eastAsia="仿宋_GB2312"/>
          <w:sz w:val="32"/>
          <w:szCs w:val="32"/>
        </w:rPr>
        <w:t>指单位用于离退休方面支出。</w:t>
      </w:r>
    </w:p>
    <w:p>
      <w:pPr>
        <w:ind w:firstLine="643" w:firstLineChars="200"/>
        <w:rPr>
          <w:rFonts w:ascii="仿宋_GB2312" w:eastAsia="仿宋_GB2312"/>
          <w:sz w:val="32"/>
          <w:szCs w:val="32"/>
        </w:rPr>
      </w:pPr>
      <w:r>
        <w:rPr>
          <w:rFonts w:hint="eastAsia" w:ascii="仿宋_GB2312" w:hAnsi="仿宋_GB2312" w:eastAsia="仿宋_GB2312" w:cs="仿宋_GB2312"/>
          <w:b/>
          <w:bCs/>
          <w:sz w:val="32"/>
          <w:szCs w:val="32"/>
          <w:lang w:val="en-US" w:eastAsia="zh-CN"/>
        </w:rPr>
        <w:t>19</w:t>
      </w:r>
      <w:r>
        <w:rPr>
          <w:rFonts w:hint="eastAsia" w:ascii="仿宋_GB2312" w:hAnsi="仿宋_GB2312" w:eastAsia="仿宋_GB2312" w:cs="仿宋_GB2312"/>
          <w:b/>
          <w:bCs/>
          <w:sz w:val="32"/>
          <w:szCs w:val="32"/>
        </w:rPr>
        <w:t>.卫生健康支出（类）行政事业单位医疗（款）行政单位医疗（项）：</w:t>
      </w:r>
      <w:r>
        <w:rPr>
          <w:rFonts w:hint="eastAsia" w:ascii="仿宋_GB2312" w:eastAsia="仿宋_GB2312"/>
          <w:sz w:val="32"/>
          <w:szCs w:val="32"/>
        </w:rPr>
        <w:t>指单位缴纳医疗保险费支出。</w:t>
      </w:r>
    </w:p>
    <w:p>
      <w:pPr>
        <w:ind w:firstLine="643" w:firstLineChars="200"/>
        <w:rPr>
          <w:rFonts w:ascii="仿宋_GB2312" w:eastAsia="仿宋_GB2312"/>
          <w:sz w:val="32"/>
          <w:szCs w:val="32"/>
        </w:rPr>
      </w:pP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.住房保障支出（类）住房改革支出（款）住房公积金（项）：</w:t>
      </w:r>
      <w:r>
        <w:rPr>
          <w:rFonts w:hint="eastAsia" w:ascii="仿宋_GB2312" w:eastAsia="仿宋_GB2312"/>
          <w:sz w:val="32"/>
          <w:szCs w:val="32"/>
        </w:rPr>
        <w:t>指单位为职工缴纳的住房公积金支出。</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Style w:val="11"/>
          <w:rFonts w:hint="eastAsia" w:ascii="黑体" w:eastAsia="黑体"/>
          <w:b w:val="0"/>
          <w:color w:val="000000"/>
          <w:sz w:val="32"/>
          <w:szCs w:val="32"/>
          <w:highlight w:val="none"/>
          <w:lang w:eastAsia="zh-CN"/>
        </w:rPr>
      </w:pPr>
      <w:r>
        <w:rPr>
          <w:rStyle w:val="11"/>
          <w:rFonts w:hint="eastAsia" w:ascii="黑体" w:eastAsia="黑体"/>
          <w:b w:val="0"/>
          <w:color w:val="000000"/>
          <w:sz w:val="32"/>
          <w:szCs w:val="32"/>
          <w:highlight w:val="none"/>
          <w:lang w:eastAsia="zh-CN"/>
        </w:rPr>
        <w:t>四、</w:t>
      </w:r>
      <w:r>
        <w:rPr>
          <w:rStyle w:val="11"/>
          <w:rFonts w:hint="eastAsia" w:ascii="黑体" w:eastAsia="黑体"/>
          <w:b w:val="0"/>
          <w:color w:val="000000"/>
          <w:sz w:val="32"/>
          <w:szCs w:val="32"/>
          <w:highlight w:val="none"/>
          <w:lang w:val="en-US" w:eastAsia="zh-CN"/>
        </w:rPr>
        <w:t>2022</w:t>
      </w:r>
      <w:r>
        <w:rPr>
          <w:rStyle w:val="11"/>
          <w:rFonts w:hint="eastAsia" w:ascii="黑体" w:eastAsia="黑体"/>
          <w:b w:val="0"/>
          <w:color w:val="000000"/>
          <w:sz w:val="32"/>
          <w:szCs w:val="32"/>
          <w:highlight w:val="none"/>
        </w:rPr>
        <w:t>年</w:t>
      </w:r>
      <w:r>
        <w:rPr>
          <w:rStyle w:val="11"/>
          <w:rFonts w:hint="eastAsia" w:ascii="黑体" w:eastAsia="黑体"/>
          <w:b w:val="0"/>
          <w:color w:val="000000"/>
          <w:sz w:val="32"/>
          <w:szCs w:val="32"/>
          <w:highlight w:val="none"/>
          <w:lang w:eastAsia="zh-CN"/>
        </w:rPr>
        <w:t>莲都区人民法院单位预算表（详见附表）</w:t>
      </w:r>
    </w:p>
    <w:p>
      <w:pPr>
        <w:pStyle w:val="2"/>
        <w:rPr>
          <w:rFonts w:hint="default"/>
          <w:bCs/>
          <w:sz w:val="30"/>
          <w:szCs w:val="30"/>
        </w:rPr>
      </w:pPr>
    </w:p>
    <w:sectPr>
      <w:footerReference r:id="rId3" w:type="default"/>
      <w:pgSz w:w="11906" w:h="16838"/>
      <w:pgMar w:top="1440" w:right="1800" w:bottom="1440" w:left="1800" w:header="851" w:footer="992" w:gutter="0"/>
      <w:pgNumType w:fmt="decimal"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07B210"/>
    <w:multiLevelType w:val="singleLevel"/>
    <w:tmpl w:val="F607B210"/>
    <w:lvl w:ilvl="0" w:tentative="0">
      <w:start w:val="1"/>
      <w:numFmt w:val="chineseCounting"/>
      <w:suff w:val="nothing"/>
      <w:lvlText w:val="%1、"/>
      <w:lvlJc w:val="left"/>
      <w:rPr>
        <w:rFonts w:hint="eastAsia"/>
      </w:rPr>
    </w:lvl>
  </w:abstractNum>
  <w:abstractNum w:abstractNumId="1">
    <w:nsid w:val="126BB86B"/>
    <w:multiLevelType w:val="singleLevel"/>
    <w:tmpl w:val="126BB86B"/>
    <w:lvl w:ilvl="0" w:tentative="0">
      <w:start w:val="8"/>
      <w:numFmt w:val="chineseCounting"/>
      <w:suff w:val="nothing"/>
      <w:lvlText w:val="（%1）"/>
      <w:lvlJc w:val="left"/>
      <w:rPr>
        <w:rFonts w:hint="eastAsia"/>
      </w:rPr>
    </w:lvl>
  </w:abstractNum>
  <w:abstractNum w:abstractNumId="2">
    <w:nsid w:val="5893F62F"/>
    <w:multiLevelType w:val="singleLevel"/>
    <w:tmpl w:val="5893F62F"/>
    <w:lvl w:ilvl="0" w:tentative="0">
      <w:start w:val="2"/>
      <w:numFmt w:val="decimal"/>
      <w:suff w:val="nothing"/>
      <w:lvlText w:val="%1."/>
      <w:lvlJc w:val="left"/>
    </w:lvl>
  </w:abstractNum>
  <w:abstractNum w:abstractNumId="3">
    <w:nsid w:val="5895A99C"/>
    <w:multiLevelType w:val="singleLevel"/>
    <w:tmpl w:val="5895A99C"/>
    <w:lvl w:ilvl="0" w:tentative="0">
      <w:start w:val="5"/>
      <w:numFmt w:val="chineseCounting"/>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25199F"/>
    <w:rsid w:val="00262BFB"/>
    <w:rsid w:val="002E190E"/>
    <w:rsid w:val="00312421"/>
    <w:rsid w:val="0034320B"/>
    <w:rsid w:val="0035041B"/>
    <w:rsid w:val="003533AA"/>
    <w:rsid w:val="00372A55"/>
    <w:rsid w:val="003A54FF"/>
    <w:rsid w:val="004C1A7E"/>
    <w:rsid w:val="004F65D0"/>
    <w:rsid w:val="004F6D96"/>
    <w:rsid w:val="0054517F"/>
    <w:rsid w:val="0055355B"/>
    <w:rsid w:val="00576237"/>
    <w:rsid w:val="005E47B3"/>
    <w:rsid w:val="005E7D52"/>
    <w:rsid w:val="00655F61"/>
    <w:rsid w:val="006C39E2"/>
    <w:rsid w:val="006D5442"/>
    <w:rsid w:val="006D7FE3"/>
    <w:rsid w:val="006E085B"/>
    <w:rsid w:val="006F455E"/>
    <w:rsid w:val="007072D9"/>
    <w:rsid w:val="0073245A"/>
    <w:rsid w:val="007715EF"/>
    <w:rsid w:val="007A0C65"/>
    <w:rsid w:val="007B431F"/>
    <w:rsid w:val="007E4CC3"/>
    <w:rsid w:val="00801E01"/>
    <w:rsid w:val="00834DDF"/>
    <w:rsid w:val="00850DC9"/>
    <w:rsid w:val="0089440C"/>
    <w:rsid w:val="009415A1"/>
    <w:rsid w:val="009427F2"/>
    <w:rsid w:val="009A7459"/>
    <w:rsid w:val="009B71E7"/>
    <w:rsid w:val="00A76362"/>
    <w:rsid w:val="00A86842"/>
    <w:rsid w:val="00AB2741"/>
    <w:rsid w:val="00B109C2"/>
    <w:rsid w:val="00B35AE9"/>
    <w:rsid w:val="00BA6311"/>
    <w:rsid w:val="00C35F38"/>
    <w:rsid w:val="00C47BB8"/>
    <w:rsid w:val="00C52D1F"/>
    <w:rsid w:val="00CE3F52"/>
    <w:rsid w:val="00D81B35"/>
    <w:rsid w:val="00DA6F5B"/>
    <w:rsid w:val="00DA7F84"/>
    <w:rsid w:val="00E20FB4"/>
    <w:rsid w:val="00E40834"/>
    <w:rsid w:val="00E429D8"/>
    <w:rsid w:val="00E44C58"/>
    <w:rsid w:val="00E925CD"/>
    <w:rsid w:val="00F23B56"/>
    <w:rsid w:val="00F56A05"/>
    <w:rsid w:val="00F7116F"/>
    <w:rsid w:val="01405C62"/>
    <w:rsid w:val="01F263DB"/>
    <w:rsid w:val="024C6702"/>
    <w:rsid w:val="026505B4"/>
    <w:rsid w:val="028630A1"/>
    <w:rsid w:val="02FD4879"/>
    <w:rsid w:val="03AA3E3B"/>
    <w:rsid w:val="03EA5C50"/>
    <w:rsid w:val="047A0826"/>
    <w:rsid w:val="05054F3D"/>
    <w:rsid w:val="059B2391"/>
    <w:rsid w:val="05F46152"/>
    <w:rsid w:val="05F835B0"/>
    <w:rsid w:val="063B27DE"/>
    <w:rsid w:val="065E25EC"/>
    <w:rsid w:val="06835E42"/>
    <w:rsid w:val="07623DA7"/>
    <w:rsid w:val="08042708"/>
    <w:rsid w:val="081119C7"/>
    <w:rsid w:val="08DE4DFD"/>
    <w:rsid w:val="09200CAD"/>
    <w:rsid w:val="09CC414D"/>
    <w:rsid w:val="0A1D1E06"/>
    <w:rsid w:val="0A4C7CCD"/>
    <w:rsid w:val="0B100DA5"/>
    <w:rsid w:val="0B486D9D"/>
    <w:rsid w:val="0B652DFD"/>
    <w:rsid w:val="0B67361D"/>
    <w:rsid w:val="0B6E145B"/>
    <w:rsid w:val="0BBA5F5F"/>
    <w:rsid w:val="0BD448F3"/>
    <w:rsid w:val="0BEA4143"/>
    <w:rsid w:val="0C140B8B"/>
    <w:rsid w:val="0C5C4167"/>
    <w:rsid w:val="0C5E5A04"/>
    <w:rsid w:val="0C7B7749"/>
    <w:rsid w:val="0CAE2663"/>
    <w:rsid w:val="0CE2397A"/>
    <w:rsid w:val="0CEE5818"/>
    <w:rsid w:val="0DD52D61"/>
    <w:rsid w:val="0DDF3EA9"/>
    <w:rsid w:val="0E184220"/>
    <w:rsid w:val="0EA11801"/>
    <w:rsid w:val="0EB34609"/>
    <w:rsid w:val="0F0A0BC6"/>
    <w:rsid w:val="0F190A47"/>
    <w:rsid w:val="0F3E23E2"/>
    <w:rsid w:val="0F5C4EB1"/>
    <w:rsid w:val="0F760C96"/>
    <w:rsid w:val="106B2554"/>
    <w:rsid w:val="106D620C"/>
    <w:rsid w:val="1085571C"/>
    <w:rsid w:val="116D5A45"/>
    <w:rsid w:val="122E2FC8"/>
    <w:rsid w:val="12970A77"/>
    <w:rsid w:val="12C41624"/>
    <w:rsid w:val="12D300E7"/>
    <w:rsid w:val="13421BC6"/>
    <w:rsid w:val="136017E9"/>
    <w:rsid w:val="13683BBC"/>
    <w:rsid w:val="136B79EF"/>
    <w:rsid w:val="13811EEE"/>
    <w:rsid w:val="138D411B"/>
    <w:rsid w:val="13983CB7"/>
    <w:rsid w:val="13AE582F"/>
    <w:rsid w:val="13B37F03"/>
    <w:rsid w:val="14861683"/>
    <w:rsid w:val="14A40687"/>
    <w:rsid w:val="14EF3497"/>
    <w:rsid w:val="153C45B3"/>
    <w:rsid w:val="157947AC"/>
    <w:rsid w:val="15BA2E74"/>
    <w:rsid w:val="15DB09EF"/>
    <w:rsid w:val="16023A9C"/>
    <w:rsid w:val="1650535C"/>
    <w:rsid w:val="16886A1B"/>
    <w:rsid w:val="17A5407C"/>
    <w:rsid w:val="17EC7FC1"/>
    <w:rsid w:val="17F81734"/>
    <w:rsid w:val="18EF3804"/>
    <w:rsid w:val="19050CF5"/>
    <w:rsid w:val="195C3A7E"/>
    <w:rsid w:val="1A2375F0"/>
    <w:rsid w:val="1AC0275A"/>
    <w:rsid w:val="1AE500E3"/>
    <w:rsid w:val="1B1D1342"/>
    <w:rsid w:val="1B2A6629"/>
    <w:rsid w:val="1C103D2D"/>
    <w:rsid w:val="1C1965EC"/>
    <w:rsid w:val="1C7701B9"/>
    <w:rsid w:val="1D124125"/>
    <w:rsid w:val="1D451326"/>
    <w:rsid w:val="1D99665F"/>
    <w:rsid w:val="1DFD2CC4"/>
    <w:rsid w:val="1E621D9B"/>
    <w:rsid w:val="1E7D4AE1"/>
    <w:rsid w:val="1E945AB3"/>
    <w:rsid w:val="1EFB5835"/>
    <w:rsid w:val="1F2E79E6"/>
    <w:rsid w:val="205247F6"/>
    <w:rsid w:val="20C21B5F"/>
    <w:rsid w:val="20D8491F"/>
    <w:rsid w:val="217D79B3"/>
    <w:rsid w:val="219B3B12"/>
    <w:rsid w:val="21F8300E"/>
    <w:rsid w:val="22CD4774"/>
    <w:rsid w:val="22D4227E"/>
    <w:rsid w:val="22FA27EC"/>
    <w:rsid w:val="230477A4"/>
    <w:rsid w:val="234550B7"/>
    <w:rsid w:val="2384696C"/>
    <w:rsid w:val="23B968AE"/>
    <w:rsid w:val="240772FF"/>
    <w:rsid w:val="24183DF0"/>
    <w:rsid w:val="241B771B"/>
    <w:rsid w:val="24280CD5"/>
    <w:rsid w:val="247778DD"/>
    <w:rsid w:val="247A77A8"/>
    <w:rsid w:val="24D6630F"/>
    <w:rsid w:val="24F84929"/>
    <w:rsid w:val="25014FB3"/>
    <w:rsid w:val="257B35E8"/>
    <w:rsid w:val="257B506C"/>
    <w:rsid w:val="258D6580"/>
    <w:rsid w:val="25DE1005"/>
    <w:rsid w:val="26816946"/>
    <w:rsid w:val="26C53B12"/>
    <w:rsid w:val="26DB7398"/>
    <w:rsid w:val="2705728B"/>
    <w:rsid w:val="27417BF8"/>
    <w:rsid w:val="27693B45"/>
    <w:rsid w:val="283A129B"/>
    <w:rsid w:val="28B801B2"/>
    <w:rsid w:val="29954B63"/>
    <w:rsid w:val="29C468F6"/>
    <w:rsid w:val="29DF16A7"/>
    <w:rsid w:val="29F74F67"/>
    <w:rsid w:val="2A043E7F"/>
    <w:rsid w:val="2A3D65FF"/>
    <w:rsid w:val="2A484907"/>
    <w:rsid w:val="2B755902"/>
    <w:rsid w:val="2B98130D"/>
    <w:rsid w:val="2BA81833"/>
    <w:rsid w:val="2BAC3F70"/>
    <w:rsid w:val="2C460159"/>
    <w:rsid w:val="2C56166B"/>
    <w:rsid w:val="2C772798"/>
    <w:rsid w:val="2CE33635"/>
    <w:rsid w:val="2D2A48F8"/>
    <w:rsid w:val="2D391980"/>
    <w:rsid w:val="2D7C6F9A"/>
    <w:rsid w:val="2DF53131"/>
    <w:rsid w:val="2E4929F1"/>
    <w:rsid w:val="2ED263DE"/>
    <w:rsid w:val="2F312BD6"/>
    <w:rsid w:val="2F4F315F"/>
    <w:rsid w:val="2F5260FE"/>
    <w:rsid w:val="30780EC9"/>
    <w:rsid w:val="30DF21A8"/>
    <w:rsid w:val="310D3FFC"/>
    <w:rsid w:val="31651329"/>
    <w:rsid w:val="31C46552"/>
    <w:rsid w:val="31EC7268"/>
    <w:rsid w:val="32371B55"/>
    <w:rsid w:val="32691E0F"/>
    <w:rsid w:val="328773D9"/>
    <w:rsid w:val="33646783"/>
    <w:rsid w:val="33722AF4"/>
    <w:rsid w:val="339F6CDD"/>
    <w:rsid w:val="34F20284"/>
    <w:rsid w:val="35A3476F"/>
    <w:rsid w:val="35BF3FB8"/>
    <w:rsid w:val="3619346A"/>
    <w:rsid w:val="36B43230"/>
    <w:rsid w:val="372434B8"/>
    <w:rsid w:val="37334590"/>
    <w:rsid w:val="37DD34EA"/>
    <w:rsid w:val="3859649B"/>
    <w:rsid w:val="386D2696"/>
    <w:rsid w:val="39227B1B"/>
    <w:rsid w:val="39406911"/>
    <w:rsid w:val="39850296"/>
    <w:rsid w:val="39C26750"/>
    <w:rsid w:val="3A147047"/>
    <w:rsid w:val="3A7F1D43"/>
    <w:rsid w:val="3A8D223E"/>
    <w:rsid w:val="3B291386"/>
    <w:rsid w:val="3B563038"/>
    <w:rsid w:val="3B80307E"/>
    <w:rsid w:val="3BCA7BD7"/>
    <w:rsid w:val="3C6C37E2"/>
    <w:rsid w:val="3C7D1C3F"/>
    <w:rsid w:val="3CCA71F4"/>
    <w:rsid w:val="3CFD6A0C"/>
    <w:rsid w:val="3DC61485"/>
    <w:rsid w:val="3DDA1E4D"/>
    <w:rsid w:val="3DE54E5F"/>
    <w:rsid w:val="400943B7"/>
    <w:rsid w:val="40143523"/>
    <w:rsid w:val="404C00D9"/>
    <w:rsid w:val="406B2735"/>
    <w:rsid w:val="409457E2"/>
    <w:rsid w:val="4171469C"/>
    <w:rsid w:val="42723EBF"/>
    <w:rsid w:val="42C349B9"/>
    <w:rsid w:val="42C454C8"/>
    <w:rsid w:val="42CF52ED"/>
    <w:rsid w:val="43143C91"/>
    <w:rsid w:val="43482ADF"/>
    <w:rsid w:val="43497E11"/>
    <w:rsid w:val="43796BAD"/>
    <w:rsid w:val="438C52D1"/>
    <w:rsid w:val="43AF1DC7"/>
    <w:rsid w:val="442360D8"/>
    <w:rsid w:val="444A6EC2"/>
    <w:rsid w:val="450B3104"/>
    <w:rsid w:val="45271A45"/>
    <w:rsid w:val="45374F70"/>
    <w:rsid w:val="45E922E2"/>
    <w:rsid w:val="46181B9F"/>
    <w:rsid w:val="46461BAD"/>
    <w:rsid w:val="46733D91"/>
    <w:rsid w:val="46B73DB3"/>
    <w:rsid w:val="46B85A12"/>
    <w:rsid w:val="46C20ABF"/>
    <w:rsid w:val="471C5409"/>
    <w:rsid w:val="475E76EE"/>
    <w:rsid w:val="47783860"/>
    <w:rsid w:val="479D2B04"/>
    <w:rsid w:val="47B54AE2"/>
    <w:rsid w:val="47B83E66"/>
    <w:rsid w:val="484652C3"/>
    <w:rsid w:val="489E735B"/>
    <w:rsid w:val="48EF215B"/>
    <w:rsid w:val="49547ADE"/>
    <w:rsid w:val="499358EA"/>
    <w:rsid w:val="4A2A2057"/>
    <w:rsid w:val="4A9518DB"/>
    <w:rsid w:val="4AB935E6"/>
    <w:rsid w:val="4B197139"/>
    <w:rsid w:val="4B1F601E"/>
    <w:rsid w:val="4B65339C"/>
    <w:rsid w:val="4B662EF7"/>
    <w:rsid w:val="4BD10D3A"/>
    <w:rsid w:val="4BE2220E"/>
    <w:rsid w:val="4CBF2857"/>
    <w:rsid w:val="4D043818"/>
    <w:rsid w:val="4D097364"/>
    <w:rsid w:val="4D7808AB"/>
    <w:rsid w:val="4DC87963"/>
    <w:rsid w:val="4E0339D7"/>
    <w:rsid w:val="4E0626FD"/>
    <w:rsid w:val="4E471526"/>
    <w:rsid w:val="4EED2017"/>
    <w:rsid w:val="4F2E2211"/>
    <w:rsid w:val="4F3D670A"/>
    <w:rsid w:val="4F4E78CD"/>
    <w:rsid w:val="4FA62E1E"/>
    <w:rsid w:val="4FC809F8"/>
    <w:rsid w:val="4FE85961"/>
    <w:rsid w:val="501333DF"/>
    <w:rsid w:val="50341189"/>
    <w:rsid w:val="504B6DCC"/>
    <w:rsid w:val="504F2AE8"/>
    <w:rsid w:val="50837233"/>
    <w:rsid w:val="514C5668"/>
    <w:rsid w:val="51513799"/>
    <w:rsid w:val="51767CF4"/>
    <w:rsid w:val="51851E6F"/>
    <w:rsid w:val="518C29B6"/>
    <w:rsid w:val="52170DB7"/>
    <w:rsid w:val="527B0739"/>
    <w:rsid w:val="527C727E"/>
    <w:rsid w:val="52AA23A8"/>
    <w:rsid w:val="52B7187A"/>
    <w:rsid w:val="532729BC"/>
    <w:rsid w:val="53A5465B"/>
    <w:rsid w:val="53B6028C"/>
    <w:rsid w:val="541D4E44"/>
    <w:rsid w:val="54392B16"/>
    <w:rsid w:val="54442E65"/>
    <w:rsid w:val="545B2AA1"/>
    <w:rsid w:val="549B5701"/>
    <w:rsid w:val="54A9277D"/>
    <w:rsid w:val="54AB2964"/>
    <w:rsid w:val="55182E77"/>
    <w:rsid w:val="55292304"/>
    <w:rsid w:val="5532549A"/>
    <w:rsid w:val="553A072A"/>
    <w:rsid w:val="553F16B7"/>
    <w:rsid w:val="558856A9"/>
    <w:rsid w:val="55CA2A9E"/>
    <w:rsid w:val="55E50F1B"/>
    <w:rsid w:val="563E44AB"/>
    <w:rsid w:val="565F6886"/>
    <w:rsid w:val="56BC237C"/>
    <w:rsid w:val="56CD4B4D"/>
    <w:rsid w:val="57224472"/>
    <w:rsid w:val="5798381B"/>
    <w:rsid w:val="57F759F2"/>
    <w:rsid w:val="5851081C"/>
    <w:rsid w:val="585447AE"/>
    <w:rsid w:val="58CE2824"/>
    <w:rsid w:val="58E46427"/>
    <w:rsid w:val="58EC4DE1"/>
    <w:rsid w:val="59B44B1E"/>
    <w:rsid w:val="59EC6E24"/>
    <w:rsid w:val="5A0B2520"/>
    <w:rsid w:val="5A1035C5"/>
    <w:rsid w:val="5A133FD5"/>
    <w:rsid w:val="5A186813"/>
    <w:rsid w:val="5A3B2376"/>
    <w:rsid w:val="5A40591F"/>
    <w:rsid w:val="5A6F0692"/>
    <w:rsid w:val="5ABF2E42"/>
    <w:rsid w:val="5B586398"/>
    <w:rsid w:val="5B7A7E97"/>
    <w:rsid w:val="5B916903"/>
    <w:rsid w:val="5BEF472E"/>
    <w:rsid w:val="5C46360B"/>
    <w:rsid w:val="5C932202"/>
    <w:rsid w:val="5CC87E6F"/>
    <w:rsid w:val="5CD86537"/>
    <w:rsid w:val="5CD918EA"/>
    <w:rsid w:val="5CDB2DA2"/>
    <w:rsid w:val="5D247D3D"/>
    <w:rsid w:val="5D492879"/>
    <w:rsid w:val="5D6A4087"/>
    <w:rsid w:val="5D876599"/>
    <w:rsid w:val="5DAE1AC9"/>
    <w:rsid w:val="5E153AF5"/>
    <w:rsid w:val="5F0E1E7F"/>
    <w:rsid w:val="5F112305"/>
    <w:rsid w:val="5F2767B3"/>
    <w:rsid w:val="5FD50BE8"/>
    <w:rsid w:val="5FE31F70"/>
    <w:rsid w:val="60045498"/>
    <w:rsid w:val="610A28CF"/>
    <w:rsid w:val="613F74C3"/>
    <w:rsid w:val="614C1844"/>
    <w:rsid w:val="617A6C2D"/>
    <w:rsid w:val="618968F0"/>
    <w:rsid w:val="619E6355"/>
    <w:rsid w:val="61BD64DA"/>
    <w:rsid w:val="6215384D"/>
    <w:rsid w:val="62AC06BC"/>
    <w:rsid w:val="633B4987"/>
    <w:rsid w:val="63525D55"/>
    <w:rsid w:val="63816D50"/>
    <w:rsid w:val="63F321C7"/>
    <w:rsid w:val="63F978E7"/>
    <w:rsid w:val="64C20A08"/>
    <w:rsid w:val="64F06443"/>
    <w:rsid w:val="65737FB9"/>
    <w:rsid w:val="65DF5ECF"/>
    <w:rsid w:val="664027E7"/>
    <w:rsid w:val="66845258"/>
    <w:rsid w:val="66A662C4"/>
    <w:rsid w:val="66A749B5"/>
    <w:rsid w:val="66FA225C"/>
    <w:rsid w:val="67222B8A"/>
    <w:rsid w:val="679D182D"/>
    <w:rsid w:val="67BB6396"/>
    <w:rsid w:val="67F342C7"/>
    <w:rsid w:val="687B5327"/>
    <w:rsid w:val="688621C1"/>
    <w:rsid w:val="68C15BDE"/>
    <w:rsid w:val="69294D53"/>
    <w:rsid w:val="69D47348"/>
    <w:rsid w:val="6A825133"/>
    <w:rsid w:val="6AD23ACD"/>
    <w:rsid w:val="6AE706B2"/>
    <w:rsid w:val="6B02012A"/>
    <w:rsid w:val="6B315A81"/>
    <w:rsid w:val="6B561ACE"/>
    <w:rsid w:val="6B843A11"/>
    <w:rsid w:val="6C3F4637"/>
    <w:rsid w:val="6C9D07C7"/>
    <w:rsid w:val="6CB426A8"/>
    <w:rsid w:val="6D3835CD"/>
    <w:rsid w:val="6D413DE6"/>
    <w:rsid w:val="6DDF18A8"/>
    <w:rsid w:val="6E4319BA"/>
    <w:rsid w:val="6E6B7F03"/>
    <w:rsid w:val="6E7742D5"/>
    <w:rsid w:val="6E947A29"/>
    <w:rsid w:val="6EC72498"/>
    <w:rsid w:val="6EFB1E55"/>
    <w:rsid w:val="6FD0008D"/>
    <w:rsid w:val="701E0D35"/>
    <w:rsid w:val="70531257"/>
    <w:rsid w:val="717A54B6"/>
    <w:rsid w:val="71B53A6E"/>
    <w:rsid w:val="71E47115"/>
    <w:rsid w:val="71F83852"/>
    <w:rsid w:val="72124418"/>
    <w:rsid w:val="72BF52A3"/>
    <w:rsid w:val="73520170"/>
    <w:rsid w:val="735C66EB"/>
    <w:rsid w:val="73B32D5B"/>
    <w:rsid w:val="74BF19C8"/>
    <w:rsid w:val="74E156B8"/>
    <w:rsid w:val="75127B2A"/>
    <w:rsid w:val="753A08ED"/>
    <w:rsid w:val="756B70AB"/>
    <w:rsid w:val="75867648"/>
    <w:rsid w:val="76177A8A"/>
    <w:rsid w:val="762D45E7"/>
    <w:rsid w:val="76432C97"/>
    <w:rsid w:val="76472E5B"/>
    <w:rsid w:val="773F1B2E"/>
    <w:rsid w:val="776141C0"/>
    <w:rsid w:val="77D04EC9"/>
    <w:rsid w:val="77E71EE7"/>
    <w:rsid w:val="78403651"/>
    <w:rsid w:val="784051C1"/>
    <w:rsid w:val="789E16E5"/>
    <w:rsid w:val="78DB0F74"/>
    <w:rsid w:val="78DB40C6"/>
    <w:rsid w:val="78DD57F7"/>
    <w:rsid w:val="78E82C7D"/>
    <w:rsid w:val="7954401D"/>
    <w:rsid w:val="79547EF1"/>
    <w:rsid w:val="79A24C96"/>
    <w:rsid w:val="79DF3D3F"/>
    <w:rsid w:val="7A287478"/>
    <w:rsid w:val="7A653DD1"/>
    <w:rsid w:val="7A663A76"/>
    <w:rsid w:val="7AE6720E"/>
    <w:rsid w:val="7AE80A7B"/>
    <w:rsid w:val="7B242AA6"/>
    <w:rsid w:val="7B5E14E4"/>
    <w:rsid w:val="7B710912"/>
    <w:rsid w:val="7B741965"/>
    <w:rsid w:val="7BBF78B4"/>
    <w:rsid w:val="7BF65F07"/>
    <w:rsid w:val="7BFE30BC"/>
    <w:rsid w:val="7C0A7BF1"/>
    <w:rsid w:val="7C4213C3"/>
    <w:rsid w:val="7C4D67CC"/>
    <w:rsid w:val="7C5270DF"/>
    <w:rsid w:val="7C9904D7"/>
    <w:rsid w:val="7CD24C07"/>
    <w:rsid w:val="7CDD0037"/>
    <w:rsid w:val="7D8F4D87"/>
    <w:rsid w:val="7D942A4C"/>
    <w:rsid w:val="7DBB66FE"/>
    <w:rsid w:val="7DBE27C1"/>
    <w:rsid w:val="7DCA5F0F"/>
    <w:rsid w:val="7E1F736F"/>
    <w:rsid w:val="7E7D74C3"/>
    <w:rsid w:val="7EA76FD3"/>
    <w:rsid w:val="7F181FD0"/>
    <w:rsid w:val="7F7620F2"/>
    <w:rsid w:val="7F890EF0"/>
    <w:rsid w:val="7FA57776"/>
    <w:rsid w:val="7FC2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link w:val="10"/>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w:basedOn w:val="1"/>
    <w:link w:val="9"/>
    <w:qFormat/>
    <w:uiPriority w:val="0"/>
    <w:rPr>
      <w:rFonts w:ascii="宋体" w:hAnsi="宋体" w:cs="Courier New"/>
      <w:sz w:val="32"/>
      <w:szCs w:val="32"/>
    </w:rPr>
  </w:style>
  <w:style w:type="character" w:styleId="11">
    <w:name w:val="Strong"/>
    <w:basedOn w:val="9"/>
    <w:qFormat/>
    <w:uiPriority w:val="0"/>
    <w:rPr>
      <w:b/>
      <w:bCs/>
    </w:rPr>
  </w:style>
  <w:style w:type="paragraph" w:customStyle="1" w:styleId="12">
    <w:name w:val="Char"/>
    <w:basedOn w:val="1"/>
    <w:link w:val="9"/>
    <w:qFormat/>
    <w:uiPriority w:val="0"/>
  </w:style>
  <w:style w:type="character" w:customStyle="1" w:styleId="13">
    <w:name w:val="页眉 Char"/>
    <w:link w:val="5"/>
    <w:qFormat/>
    <w:uiPriority w:val="0"/>
    <w:rPr>
      <w:kern w:val="2"/>
      <w:sz w:val="18"/>
      <w:szCs w:val="18"/>
    </w:rPr>
  </w:style>
  <w:style w:type="character" w:customStyle="1" w:styleId="14">
    <w:name w:val="页脚 Char"/>
    <w:link w:val="4"/>
    <w:qFormat/>
    <w:uiPriority w:val="0"/>
    <w:rPr>
      <w:kern w:val="2"/>
      <w:sz w:val="18"/>
      <w:szCs w:val="18"/>
    </w:rPr>
  </w:style>
  <w:style w:type="paragraph" w:customStyle="1" w:styleId="15">
    <w:name w:val="[Normal]"/>
    <w:qFormat/>
    <w:uiPriority w:val="0"/>
    <w:rPr>
      <w:rFonts w:ascii="宋体" w:hAnsi="宋体" w:eastAsia="宋体" w:cs="Times New Roman"/>
      <w:sz w:val="24"/>
      <w:lang w:val="zh-CN" w:eastAsia="zh-CN" w:bidi="ar-SA"/>
    </w:r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xc</Company>
  <Pages>3</Pages>
  <Words>1038</Words>
  <Characters>1631</Characters>
  <Lines>13</Lines>
  <Paragraphs>5</Paragraphs>
  <TotalTime>17</TotalTime>
  <ScaleCrop>false</ScaleCrop>
  <LinksUpToDate>false</LinksUpToDate>
  <CharactersWithSpaces>2664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2020-01-06T08:45:00Z</dcterms:created>
  <dc:creator>dsx</dc:creator>
  <cp:lastModifiedBy>Administrator</cp:lastModifiedBy>
  <dcterms:modified xsi:type="dcterms:W3CDTF">2023-07-05T12:24:56Z</dcterms:modified>
  <dc:title>关于2019年部门预算的批复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EDOID">
    <vt:r8>5838458</vt:r8>
  </property>
  <property fmtid="{D5CDD505-2E9C-101B-9397-08002B2CF9AE}" pid="4" name="ICV">
    <vt:lpwstr>E7E435903E954F16B3A6550F30CE4D1E</vt:lpwstr>
  </property>
</Properties>
</file>