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Lines="0" w:afterLines="0" w:line="560" w:lineRule="exact"/>
        <w:textAlignment w:val="auto"/>
        <w:rPr>
          <w:rFonts w:hint="eastAsia" w:ascii="黑体" w:hAnsi="黑体" w:eastAsia="黑体" w:cs="黑体"/>
          <w:b w:val="0"/>
          <w:bCs w:val="0"/>
          <w:spacing w:val="15"/>
          <w:sz w:val="32"/>
          <w:szCs w:val="32"/>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 w:val="0"/>
          <w:bCs w:val="0"/>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lang w:eastAsia="zh-CN"/>
        </w:rPr>
      </w:pPr>
      <w:r>
        <w:rPr>
          <w:rFonts w:hint="eastAsia" w:ascii="方正小标宋简体" w:hAnsi="方正小标宋简体" w:eastAsia="方正小标宋简体" w:cs="方正小标宋简体"/>
          <w:bCs/>
          <w:spacing w:val="15"/>
          <w:sz w:val="44"/>
          <w:szCs w:val="44"/>
          <w:highlight w:val="none"/>
          <w:lang w:eastAsia="zh-CN"/>
        </w:rPr>
        <w:t>莲都区人民法院审判保障服务中心</w:t>
      </w: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r>
        <w:rPr>
          <w:rFonts w:hint="eastAsia" w:ascii="方正小标宋简体" w:hAnsi="方正小标宋简体" w:eastAsia="方正小标宋简体" w:cs="方正小标宋简体"/>
          <w:bCs/>
          <w:spacing w:val="15"/>
          <w:sz w:val="44"/>
          <w:szCs w:val="44"/>
          <w:highlight w:val="none"/>
          <w:lang w:val="en-US" w:eastAsia="zh-CN"/>
        </w:rPr>
        <w:t>2022</w:t>
      </w:r>
      <w:r>
        <w:rPr>
          <w:rFonts w:hint="eastAsia" w:ascii="方正小标宋简体" w:hAnsi="方正小标宋简体" w:eastAsia="方正小标宋简体" w:cs="方正小标宋简体"/>
          <w:bCs/>
          <w:spacing w:val="15"/>
          <w:sz w:val="44"/>
          <w:szCs w:val="44"/>
          <w:highlight w:val="none"/>
        </w:rPr>
        <w:t>年</w:t>
      </w:r>
      <w:r>
        <w:rPr>
          <w:rFonts w:hint="eastAsia" w:ascii="方正小标宋简体" w:hAnsi="方正小标宋简体" w:eastAsia="方正小标宋简体" w:cs="方正小标宋简体"/>
          <w:bCs/>
          <w:spacing w:val="15"/>
          <w:sz w:val="44"/>
          <w:szCs w:val="44"/>
          <w:highlight w:val="none"/>
          <w:lang w:eastAsia="zh-CN"/>
        </w:rPr>
        <w:t>单位</w:t>
      </w:r>
      <w:r>
        <w:rPr>
          <w:rFonts w:hint="eastAsia" w:ascii="方正小标宋简体" w:hAnsi="方正小标宋简体" w:eastAsia="方正小标宋简体" w:cs="方正小标宋简体"/>
          <w:bCs/>
          <w:spacing w:val="15"/>
          <w:sz w:val="44"/>
          <w:szCs w:val="44"/>
          <w:highlight w:val="none"/>
        </w:rPr>
        <w:t>预算</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pStyle w:val="2"/>
        <w:rPr>
          <w:rStyle w:val="11"/>
          <w:rFonts w:hint="eastAsia" w:ascii="黑体" w:eastAsia="黑体"/>
          <w:b w:val="0"/>
          <w:color w:val="000000"/>
          <w:sz w:val="32"/>
          <w:szCs w:val="32"/>
          <w:highlight w:val="yellow"/>
          <w:lang w:eastAsia="zh-CN"/>
        </w:rPr>
      </w:pPr>
    </w:p>
    <w:p>
      <w:pPr>
        <w:pStyle w:val="2"/>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jc w:val="both"/>
        <w:textAlignment w:val="auto"/>
        <w:outlineLvl w:val="9"/>
        <w:rPr>
          <w:rStyle w:val="11"/>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1"/>
          <w:rFonts w:hint="default" w:ascii="黑体" w:eastAsia="黑体"/>
          <w:b w:val="0"/>
          <w:color w:val="000000"/>
          <w:sz w:val="32"/>
          <w:szCs w:val="32"/>
          <w:highlight w:val="none"/>
          <w:lang w:val="en-US" w:eastAsia="zh-CN"/>
        </w:rPr>
      </w:pPr>
      <w:r>
        <w:rPr>
          <w:rStyle w:val="11"/>
          <w:rFonts w:hint="eastAsia" w:ascii="黑体" w:eastAsia="黑体"/>
          <w:b w:val="0"/>
          <w:color w:val="000000"/>
          <w:sz w:val="32"/>
          <w:szCs w:val="32"/>
          <w:highlight w:val="none"/>
          <w:lang w:val="en-US" w:eastAsia="zh-CN"/>
        </w:rPr>
        <w:t>目录</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default" w:ascii="Times New Roman" w:hAnsi="Times New Roman" w:eastAsia="黑体"/>
          <w:sz w:val="32"/>
        </w:rPr>
      </w:pPr>
      <w:r>
        <w:rPr>
          <w:rFonts w:hint="eastAsia" w:ascii="黑体" w:eastAsia="黑体"/>
          <w:color w:val="000000"/>
          <w:sz w:val="32"/>
          <w:highlight w:val="white"/>
        </w:rPr>
        <w:t>一、</w:t>
      </w:r>
      <w:r>
        <w:rPr>
          <w:rStyle w:val="11"/>
          <w:rFonts w:hint="eastAsia" w:ascii="黑体" w:eastAsia="黑体"/>
          <w:b w:val="0"/>
          <w:color w:val="000000"/>
          <w:sz w:val="32"/>
          <w:szCs w:val="32"/>
        </w:rPr>
        <w:t>莲都区人民法院审判保障服务中心概况</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（一）主要职能</w:t>
      </w:r>
    </w:p>
    <w:p>
      <w:pPr>
        <w:autoSpaceDE w:val="0"/>
        <w:autoSpaceDN w:val="0"/>
        <w:adjustRightInd w:val="0"/>
        <w:ind w:leftChars="200"/>
        <w:jc w:val="left"/>
        <w:rPr>
          <w:rFonts w:hint="default"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11"/>
          <w:rFonts w:hint="eastAsia" w:ascii="黑体" w:eastAsia="黑体"/>
          <w:b w:val="0"/>
          <w:color w:val="000000"/>
          <w:sz w:val="32"/>
          <w:szCs w:val="32"/>
          <w:highlight w:val="none"/>
          <w:lang w:eastAsia="zh-CN"/>
        </w:rPr>
      </w:pPr>
      <w:r>
        <w:rPr>
          <w:rStyle w:val="11"/>
          <w:rFonts w:hint="eastAsia" w:ascii="黑体" w:eastAsia="黑体"/>
          <w:b w:val="0"/>
          <w:color w:val="000000"/>
          <w:sz w:val="32"/>
          <w:szCs w:val="32"/>
          <w:highlight w:val="none"/>
          <w:lang w:eastAsia="zh-CN"/>
        </w:rPr>
        <w:t>二、</w:t>
      </w:r>
      <w:r>
        <w:rPr>
          <w:rStyle w:val="11"/>
          <w:rFonts w:hint="eastAsia" w:ascii="黑体" w:eastAsia="黑体"/>
          <w:b w:val="0"/>
          <w:color w:val="000000"/>
          <w:sz w:val="32"/>
          <w:szCs w:val="32"/>
          <w:highlight w:val="none"/>
          <w:lang w:val="en-US" w:eastAsia="zh-CN"/>
        </w:rPr>
        <w:t>2022</w:t>
      </w:r>
      <w:r>
        <w:rPr>
          <w:rStyle w:val="11"/>
          <w:rFonts w:hint="eastAsia" w:ascii="黑体" w:eastAsia="黑体"/>
          <w:b w:val="0"/>
          <w:color w:val="000000"/>
          <w:sz w:val="32"/>
          <w:szCs w:val="32"/>
          <w:highlight w:val="none"/>
        </w:rPr>
        <w:t>年</w:t>
      </w:r>
      <w:r>
        <w:rPr>
          <w:rStyle w:val="11"/>
          <w:rFonts w:hint="eastAsia" w:ascii="黑体" w:eastAsia="黑体"/>
          <w:b w:val="0"/>
          <w:color w:val="000000"/>
          <w:sz w:val="32"/>
          <w:szCs w:val="32"/>
        </w:rPr>
        <w:t>莲都区人民法院审判保障服务中心</w:t>
      </w:r>
      <w:r>
        <w:rPr>
          <w:rStyle w:val="11"/>
          <w:rFonts w:hint="eastAsia" w:ascii="黑体" w:eastAsia="黑体"/>
          <w:b w:val="0"/>
          <w:color w:val="000000"/>
          <w:sz w:val="32"/>
          <w:szCs w:val="32"/>
          <w:highlight w:val="none"/>
        </w:rPr>
        <w:t>预算安排情况说明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w:t>
      </w:r>
      <w:r>
        <w:rPr>
          <w:rFonts w:hint="eastAsia" w:ascii="楷体_GB2312" w:hAnsi="楷体_GB2312" w:eastAsia="楷体_GB2312" w:cs="楷体_GB2312"/>
          <w:b w:val="0"/>
          <w:bCs/>
          <w:sz w:val="32"/>
          <w:szCs w:val="32"/>
          <w:highlight w:val="none"/>
          <w:lang w:eastAsia="zh-CN"/>
        </w:rPr>
        <w:t>关于莲都区人民法院审判保障服务中心</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关于莲都区人民法院审判保障服务中心</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年收入预算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三</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关于莲都区人民法院审判保障服务中心</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年支出预算</w:t>
      </w:r>
      <w:r>
        <w:rPr>
          <w:rFonts w:hint="eastAsia" w:ascii="楷体_GB2312" w:hAnsi="楷体_GB2312" w:eastAsia="楷体_GB2312" w:cs="楷体_GB2312"/>
          <w:b w:val="0"/>
          <w:bCs/>
          <w:sz w:val="32"/>
          <w:szCs w:val="32"/>
          <w:highlight w:val="none"/>
          <w:lang w:eastAsia="zh-CN"/>
        </w:rPr>
        <w:t>情况说明</w:t>
      </w:r>
      <w:r>
        <w:rPr>
          <w:rFonts w:hint="eastAsia" w:ascii="楷体_GB2312" w:hAnsi="楷体_GB2312" w:eastAsia="楷体_GB2312" w:cs="楷体_GB2312"/>
          <w:b w:val="0"/>
          <w:bCs/>
          <w:sz w:val="32"/>
          <w:szCs w:val="32"/>
          <w:highlight w:val="none"/>
        </w:rPr>
        <w:br w:type="textWrapping"/>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四</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关于莲都区人民法院审判保障服务中心</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年财政拨款</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（五）关于莲都区人民法院审判保障服务中心</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一般公共预算当年拨款情况说明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val="en-US" w:eastAsia="zh-CN"/>
        </w:rPr>
        <w:t>（六）</w:t>
      </w:r>
      <w:r>
        <w:rPr>
          <w:rFonts w:hint="eastAsia" w:ascii="楷体_GB2312" w:hAnsi="楷体_GB2312" w:eastAsia="楷体_GB2312" w:cs="楷体_GB2312"/>
          <w:b w:val="0"/>
          <w:bCs/>
          <w:sz w:val="32"/>
          <w:szCs w:val="32"/>
          <w:highlight w:val="none"/>
          <w:lang w:eastAsia="zh-CN"/>
        </w:rPr>
        <w:t>关于莲都区人民法院审判保障服务中心</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一般公共预算基本支出情况说明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（七）关于莲都区人民法院审判保障服务中心</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政府性基金预算支出情况说明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（八）关于莲都区人民法院审判保障服务中心</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（九）关于莲都区人民法院审判保障服务中心</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sz w:val="32"/>
          <w:szCs w:val="32"/>
          <w:highlight w:val="none"/>
        </w:rPr>
        <w:t>“三公”经费预算情况</w:t>
      </w:r>
      <w:r>
        <w:rPr>
          <w:rFonts w:hint="eastAsia" w:ascii="楷体_GB2312" w:hAnsi="楷体_GB2312" w:eastAsia="楷体_GB2312" w:cs="楷体_GB2312"/>
          <w:b w:val="0"/>
          <w:bCs/>
          <w:sz w:val="32"/>
          <w:szCs w:val="32"/>
          <w:highlight w:val="none"/>
          <w:lang w:eastAsia="zh-CN"/>
        </w:rPr>
        <w:t>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6"/>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11"/>
          <w:rFonts w:hint="eastAsia" w:ascii="黑体" w:hAnsi="Calibri" w:eastAsia="黑体" w:cs="Times New Roman"/>
          <w:b w:val="0"/>
          <w:color w:val="000000"/>
          <w:kern w:val="2"/>
          <w:sz w:val="32"/>
          <w:szCs w:val="32"/>
          <w:highlight w:val="none"/>
          <w:lang w:val="en-US" w:eastAsia="zh-CN" w:bidi="ar-SA"/>
        </w:rPr>
      </w:pPr>
      <w:r>
        <w:rPr>
          <w:rStyle w:val="11"/>
          <w:rFonts w:hint="eastAsia" w:ascii="黑体" w:hAnsi="Calibri" w:eastAsia="黑体" w:cs="Times New Roman"/>
          <w:b w:val="0"/>
          <w:color w:val="000000"/>
          <w:kern w:val="2"/>
          <w:sz w:val="32"/>
          <w:szCs w:val="32"/>
          <w:highlight w:val="none"/>
          <w:lang w:val="en-US" w:eastAsia="zh-CN" w:bidi="ar-SA"/>
        </w:rPr>
        <w:t>三、名词解释</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11"/>
          <w:rFonts w:hint="eastAsia" w:ascii="黑体" w:eastAsia="黑体"/>
          <w:b w:val="0"/>
          <w:color w:val="000000"/>
          <w:sz w:val="32"/>
          <w:szCs w:val="32"/>
          <w:highlight w:val="none"/>
          <w:lang w:eastAsia="zh-CN"/>
        </w:rPr>
      </w:pPr>
      <w:r>
        <w:rPr>
          <w:rStyle w:val="11"/>
          <w:rFonts w:hint="eastAsia" w:ascii="黑体" w:eastAsia="黑体"/>
          <w:b w:val="0"/>
          <w:color w:val="000000"/>
          <w:sz w:val="32"/>
          <w:szCs w:val="32"/>
          <w:highlight w:val="none"/>
          <w:lang w:eastAsia="zh-CN"/>
        </w:rPr>
        <w:t>四、</w:t>
      </w:r>
      <w:r>
        <w:rPr>
          <w:rStyle w:val="11"/>
          <w:rFonts w:hint="eastAsia" w:ascii="黑体" w:eastAsia="黑体"/>
          <w:b w:val="0"/>
          <w:color w:val="000000"/>
          <w:sz w:val="32"/>
          <w:szCs w:val="32"/>
          <w:highlight w:val="none"/>
          <w:lang w:val="en-US" w:eastAsia="zh-CN"/>
        </w:rPr>
        <w:t>2022</w:t>
      </w:r>
      <w:r>
        <w:rPr>
          <w:rStyle w:val="11"/>
          <w:rFonts w:hint="eastAsia" w:ascii="黑体" w:eastAsia="黑体"/>
          <w:b w:val="0"/>
          <w:color w:val="000000"/>
          <w:sz w:val="32"/>
          <w:szCs w:val="32"/>
          <w:highlight w:val="none"/>
        </w:rPr>
        <w:t>年</w:t>
      </w:r>
      <w:r>
        <w:rPr>
          <w:rStyle w:val="11"/>
          <w:rFonts w:hint="eastAsia" w:ascii="黑体" w:eastAsia="黑体"/>
          <w:b w:val="0"/>
          <w:color w:val="000000"/>
          <w:sz w:val="32"/>
          <w:szCs w:val="32"/>
          <w:highlight w:val="none"/>
          <w:lang w:eastAsia="zh-CN"/>
        </w:rPr>
        <w:t>莲都区人民法院审判保障服务中心单位预算表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（一）2022年区级</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lang w:val="en-US" w:eastAsia="zh-CN"/>
        </w:rPr>
        <w:t>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（二）2022年区级</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lang w:val="en-US" w:eastAsia="zh-CN"/>
        </w:rPr>
        <w:t>收入预算总表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（三）2022年区级</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lang w:val="en-US" w:eastAsia="zh-CN"/>
        </w:rPr>
        <w:t>支出预算总表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（四）2022年区级</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lang w:val="en-US" w:eastAsia="zh-CN"/>
        </w:rPr>
        <w:t>财政拨款收支预算总表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（五）2022年区级</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lang w:val="en-US" w:eastAsia="zh-CN"/>
        </w:rPr>
        <w:t>一般公共预算支出表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（六）2022年区级</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lang w:val="en-US" w:eastAsia="zh-CN"/>
        </w:rPr>
        <w:t>一般公共预算基本支出表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（七）2022年区级</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lang w:val="en-US" w:eastAsia="zh-CN"/>
        </w:rPr>
        <w:t>一般公共预算“三公”经费支出表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（八）2022年区级</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lang w:val="en-US" w:eastAsia="zh-CN"/>
        </w:rPr>
        <w:t>政府性基金预算支出表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（九）2022年区级</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lang w:val="en-US" w:eastAsia="zh-CN"/>
        </w:rPr>
        <w:t>国有资本经营预算支出表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（十）2022年区级</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lang w:val="en-US" w:eastAsia="zh-CN"/>
        </w:rPr>
        <w:t>项目支出预算表</w:t>
      </w:r>
    </w:p>
    <w:p>
      <w:pPr>
        <w:pStyle w:val="2"/>
        <w:ind w:firstLine="320" w:firstLineChars="100"/>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（十一）2022年区级</w:t>
      </w:r>
      <w:r>
        <w:rPr>
          <w:rFonts w:hint="eastAsia" w:ascii="楷体_GB2312" w:hAnsi="楷体_GB2312" w:eastAsia="楷体_GB2312" w:cs="楷体_GB2312"/>
          <w:b w:val="0"/>
          <w:bCs/>
          <w:sz w:val="32"/>
          <w:szCs w:val="32"/>
          <w:highlight w:val="none"/>
          <w:lang w:eastAsia="zh-CN"/>
        </w:rPr>
        <w:t>单位</w:t>
      </w:r>
      <w:r>
        <w:rPr>
          <w:rFonts w:hint="eastAsia" w:ascii="楷体_GB2312" w:hAnsi="楷体_GB2312" w:eastAsia="楷体_GB2312" w:cs="楷体_GB2312"/>
          <w:b w:val="0"/>
          <w:bCs/>
          <w:sz w:val="32"/>
          <w:szCs w:val="32"/>
          <w:highlight w:val="none"/>
          <w:lang w:val="en-US" w:eastAsia="zh-CN"/>
        </w:rPr>
        <w:t>预算财政拨款重点项目支出预算表</w:t>
      </w:r>
    </w:p>
    <w:p>
      <w:pPr>
        <w:pStyle w:val="2"/>
        <w:rPr>
          <w:rFonts w:hint="default" w:ascii="楷体_GB2312" w:hAnsi="楷体_GB2312" w:eastAsia="楷体_GB2312" w:cs="楷体_GB2312"/>
          <w:b w:val="0"/>
          <w:bCs/>
          <w:sz w:val="32"/>
          <w:szCs w:val="32"/>
          <w:highlight w:val="none"/>
          <w:lang w:val="en-US" w:eastAsia="zh-CN"/>
        </w:rPr>
      </w:pPr>
    </w:p>
    <w:p>
      <w:pPr>
        <w:pStyle w:val="2"/>
        <w:rPr>
          <w:rStyle w:val="11"/>
          <w:rFonts w:hint="eastAsia" w:ascii="黑体" w:eastAsia="黑体"/>
          <w:b w:val="0"/>
          <w:color w:val="000000"/>
          <w:sz w:val="32"/>
          <w:szCs w:val="32"/>
          <w:highlight w:val="none"/>
        </w:rPr>
      </w:pPr>
    </w:p>
    <w:p>
      <w:pPr>
        <w:pStyle w:val="2"/>
        <w:rPr>
          <w:rStyle w:val="11"/>
          <w:rFonts w:hint="eastAsia" w:ascii="黑体" w:eastAsia="黑体"/>
          <w:b w:val="0"/>
          <w:color w:val="000000"/>
          <w:sz w:val="32"/>
          <w:szCs w:val="32"/>
          <w:highlight w:val="none"/>
        </w:rPr>
      </w:pPr>
    </w:p>
    <w:p>
      <w:pPr>
        <w:pStyle w:val="2"/>
        <w:rPr>
          <w:rStyle w:val="11"/>
          <w:rFonts w:hint="eastAsia" w:ascii="黑体" w:eastAsia="黑体"/>
          <w:b w:val="0"/>
          <w:color w:val="000000"/>
          <w:sz w:val="32"/>
          <w:szCs w:val="32"/>
          <w:highlight w:val="none"/>
        </w:rPr>
      </w:pPr>
    </w:p>
    <w:p>
      <w:pPr>
        <w:pStyle w:val="2"/>
        <w:rPr>
          <w:rStyle w:val="11"/>
          <w:rFonts w:hint="eastAsia" w:ascii="黑体" w:eastAsia="黑体"/>
          <w:b w:val="0"/>
          <w:color w:val="000000"/>
          <w:sz w:val="32"/>
          <w:szCs w:val="32"/>
          <w:highlight w:val="none"/>
        </w:rPr>
      </w:pPr>
    </w:p>
    <w:p>
      <w:pPr>
        <w:pStyle w:val="2"/>
        <w:tabs>
          <w:tab w:val="left" w:pos="2608"/>
        </w:tabs>
        <w:rPr>
          <w:rStyle w:val="11"/>
          <w:rFonts w:hint="eastAsia" w:ascii="黑体" w:eastAsia="黑体"/>
          <w:b w:val="0"/>
          <w:color w:val="000000"/>
          <w:sz w:val="32"/>
          <w:szCs w:val="32"/>
          <w:highlight w:val="none"/>
          <w:lang w:eastAsia="zh-CN"/>
        </w:rPr>
      </w:pPr>
    </w:p>
    <w:p>
      <w:pPr>
        <w:keepNext w:val="0"/>
        <w:keepLines w:val="0"/>
        <w:pageBreakBefore w:val="0"/>
        <w:numPr>
          <w:ilvl w:val="0"/>
          <w:numId w:val="1"/>
        </w:numPr>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11"/>
          <w:rFonts w:hint="eastAsia" w:ascii="黑体" w:eastAsia="黑体"/>
          <w:b w:val="0"/>
          <w:color w:val="000000"/>
          <w:sz w:val="32"/>
          <w:szCs w:val="32"/>
        </w:rPr>
      </w:pPr>
      <w:r>
        <w:rPr>
          <w:rStyle w:val="11"/>
          <w:rFonts w:hint="eastAsia" w:ascii="黑体" w:eastAsia="黑体"/>
          <w:b w:val="0"/>
          <w:color w:val="000000"/>
          <w:sz w:val="32"/>
          <w:szCs w:val="32"/>
        </w:rPr>
        <w:t>莲都区人民法院审判保障服务中心概况</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（一）</w:t>
      </w:r>
      <w:r>
        <w:rPr>
          <w:rFonts w:hint="eastAsia" w:ascii="楷体_GB2312" w:hAnsi="楷体_GB2312" w:eastAsia="楷体_GB2312" w:cs="楷体_GB2312"/>
          <w:b w:val="0"/>
          <w:bCs/>
          <w:sz w:val="32"/>
          <w:szCs w:val="32"/>
          <w:highlight w:val="none"/>
        </w:rPr>
        <w:t>主要职能</w:t>
      </w:r>
    </w:p>
    <w:p>
      <w:pPr>
        <w:snapToGrid w:val="0"/>
        <w:spacing w:line="540" w:lineRule="exact"/>
        <w:rPr>
          <w:rFonts w:ascii="仿宋_GB2312" w:eastAsia="仿宋_GB2312"/>
          <w:bCs/>
          <w:sz w:val="32"/>
          <w:szCs w:val="32"/>
        </w:rPr>
      </w:pPr>
      <w:r>
        <w:rPr>
          <w:rFonts w:hint="eastAsia"/>
          <w:color w:val="000000"/>
          <w:sz w:val="32"/>
          <w:szCs w:val="32"/>
          <w:shd w:val="clear" w:color="auto" w:fill="FFFFFF"/>
        </w:rPr>
        <w:t>　　</w:t>
      </w:r>
      <w:r>
        <w:rPr>
          <w:rFonts w:hint="eastAsia" w:ascii="仿宋_GB2312" w:eastAsia="仿宋_GB2312"/>
          <w:bCs/>
          <w:sz w:val="32"/>
          <w:szCs w:val="32"/>
        </w:rPr>
        <w:t>履行审判辅助职能，承担本院的文印、庭审速录、公务用车、计算机管理与维护、大楼物业、食堂管理等辅助性、事务性、服务性后勤工作。</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（二）单位机构设置情况</w:t>
      </w:r>
    </w:p>
    <w:p>
      <w:pPr>
        <w:pStyle w:val="6"/>
        <w:keepNext w:val="0"/>
        <w:keepLines w:val="0"/>
        <w:widowControl/>
        <w:suppressLineNumbers w:val="0"/>
        <w:spacing w:line="555" w:lineRule="atLeast"/>
        <w:ind w:left="0" w:firstLine="630"/>
        <w:rPr>
          <w:rFonts w:hint="eastAsia" w:ascii="仿宋_GB2312" w:hAnsi="Times New Roman" w:eastAsia="仿宋_GB2312" w:cs="Times New Roman"/>
          <w:bCs/>
          <w:kern w:val="2"/>
          <w:sz w:val="32"/>
          <w:szCs w:val="32"/>
          <w:lang w:val="en-US" w:eastAsia="zh-CN" w:bidi="ar-SA"/>
        </w:rPr>
      </w:pPr>
      <w:r>
        <w:rPr>
          <w:rFonts w:hint="eastAsia" w:ascii="仿宋_GB2312" w:eastAsia="仿宋_GB2312" w:cs="Times New Roman"/>
          <w:bCs/>
          <w:kern w:val="2"/>
          <w:sz w:val="32"/>
          <w:szCs w:val="32"/>
          <w:lang w:val="en-US" w:eastAsia="zh-CN" w:bidi="ar-SA"/>
        </w:rPr>
        <w:t>从预算单位构成看，</w:t>
      </w:r>
      <w:r>
        <w:rPr>
          <w:rFonts w:hint="eastAsia" w:ascii="仿宋_GB2312" w:hAnsi="Times New Roman" w:eastAsia="仿宋_GB2312" w:cs="Times New Roman"/>
          <w:bCs/>
          <w:kern w:val="2"/>
          <w:sz w:val="32"/>
          <w:szCs w:val="32"/>
          <w:lang w:val="en-US" w:eastAsia="zh-CN" w:bidi="ar-SA"/>
        </w:rPr>
        <w:t>莲都区</w:t>
      </w:r>
      <w:r>
        <w:rPr>
          <w:rFonts w:hint="eastAsia" w:ascii="仿宋_GB2312" w:eastAsia="仿宋_GB2312" w:cs="Times New Roman"/>
          <w:bCs/>
          <w:kern w:val="2"/>
          <w:sz w:val="32"/>
          <w:szCs w:val="32"/>
          <w:lang w:val="en-US" w:eastAsia="zh-CN" w:bidi="ar-SA"/>
        </w:rPr>
        <w:t>人民</w:t>
      </w:r>
      <w:r>
        <w:rPr>
          <w:rFonts w:hint="eastAsia" w:ascii="仿宋_GB2312" w:hAnsi="Times New Roman" w:eastAsia="仿宋_GB2312" w:cs="Times New Roman"/>
          <w:bCs/>
          <w:kern w:val="2"/>
          <w:sz w:val="32"/>
          <w:szCs w:val="32"/>
          <w:lang w:val="en-US" w:eastAsia="zh-CN" w:bidi="ar-SA"/>
        </w:rPr>
        <w:t>法院审判保障服务中心</w:t>
      </w:r>
      <w:r>
        <w:rPr>
          <w:rFonts w:hint="eastAsia" w:ascii="仿宋_GB2312" w:eastAsia="仿宋_GB2312" w:cs="Times New Roman"/>
          <w:bCs/>
          <w:kern w:val="2"/>
          <w:sz w:val="32"/>
          <w:szCs w:val="32"/>
          <w:lang w:val="en-US" w:eastAsia="zh-CN" w:bidi="ar-SA"/>
        </w:rPr>
        <w:t>单位预算包括：审判保障服务中心本级预算</w:t>
      </w:r>
      <w:r>
        <w:rPr>
          <w:rFonts w:hint="eastAsia" w:ascii="仿宋_GB2312" w:hAnsi="Times New Roman" w:eastAsia="仿宋_GB2312" w:cs="Times New Roman"/>
          <w:bCs/>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0"/>
          <w:szCs w:val="30"/>
        </w:rPr>
      </w:pPr>
      <w:r>
        <w:rPr>
          <w:rStyle w:val="11"/>
          <w:rFonts w:hint="eastAsia" w:ascii="黑体" w:eastAsia="黑体"/>
          <w:b w:val="0"/>
          <w:color w:val="000000"/>
          <w:sz w:val="32"/>
          <w:szCs w:val="32"/>
        </w:rPr>
        <w:t>二、</w:t>
      </w:r>
      <w:r>
        <w:rPr>
          <w:rStyle w:val="11"/>
          <w:rFonts w:hint="eastAsia" w:ascii="黑体" w:eastAsia="黑体"/>
          <w:b w:val="0"/>
          <w:color w:val="000000"/>
          <w:sz w:val="32"/>
          <w:szCs w:val="32"/>
          <w:highlight w:val="none"/>
          <w:lang w:val="en-US" w:eastAsia="zh-CN"/>
        </w:rPr>
        <w:t>2022</w:t>
      </w:r>
      <w:r>
        <w:rPr>
          <w:rStyle w:val="11"/>
          <w:rFonts w:hint="eastAsia" w:ascii="黑体" w:eastAsia="黑体"/>
          <w:b w:val="0"/>
          <w:color w:val="000000"/>
          <w:sz w:val="32"/>
          <w:szCs w:val="32"/>
          <w:highlight w:val="none"/>
        </w:rPr>
        <w:t>年</w:t>
      </w:r>
      <w:r>
        <w:rPr>
          <w:rStyle w:val="11"/>
          <w:rFonts w:hint="eastAsia" w:ascii="黑体" w:eastAsia="黑体"/>
          <w:b w:val="0"/>
          <w:color w:val="000000"/>
          <w:sz w:val="32"/>
          <w:szCs w:val="32"/>
        </w:rPr>
        <w:t>莲都区人民法院审判保障服务中心</w:t>
      </w:r>
      <w:r>
        <w:rPr>
          <w:rStyle w:val="11"/>
          <w:rFonts w:hint="eastAsia" w:ascii="黑体" w:eastAsia="黑体"/>
          <w:b w:val="0"/>
          <w:color w:val="000000"/>
          <w:sz w:val="32"/>
          <w:szCs w:val="32"/>
          <w:highlight w:val="none"/>
        </w:rPr>
        <w:t>预算安排情况说明</w:t>
      </w:r>
      <w:r>
        <w:rPr>
          <w:rFonts w:hint="eastAsia" w:ascii="仿宋_GB2312" w:eastAsia="仿宋_GB2312"/>
          <w:color w:val="000000"/>
          <w:sz w:val="30"/>
          <w:szCs w:val="30"/>
        </w:rPr>
        <w:t>　　</w:t>
      </w:r>
    </w:p>
    <w:p>
      <w:pPr>
        <w:numPr>
          <w:ilvl w:val="0"/>
          <w:numId w:val="2"/>
        </w:num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关于莲都区人民法院审判保障服务中心</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收</w:t>
      </w:r>
    </w:p>
    <w:p>
      <w:pPr>
        <w:numPr>
          <w:ilvl w:val="0"/>
          <w:numId w:val="0"/>
        </w:numPr>
        <w:autoSpaceDE w:val="0"/>
        <w:autoSpaceDN w:val="0"/>
        <w:adjustRightInd w:val="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支预算情况的总体说明</w:t>
      </w:r>
    </w:p>
    <w:p>
      <w:pPr>
        <w:snapToGrid w:val="0"/>
        <w:spacing w:line="540" w:lineRule="exact"/>
        <w:ind w:firstLine="641"/>
        <w:rPr>
          <w:rFonts w:hint="eastAsia" w:ascii="仿宋_GB2312" w:eastAsia="仿宋_GB2312"/>
          <w:bCs/>
          <w:color w:val="auto"/>
          <w:sz w:val="32"/>
          <w:szCs w:val="32"/>
        </w:rPr>
      </w:pPr>
      <w:r>
        <w:rPr>
          <w:rFonts w:hint="eastAsia" w:ascii="仿宋_GB2312" w:eastAsia="仿宋_GB2312"/>
          <w:bCs/>
          <w:sz w:val="32"/>
          <w:szCs w:val="32"/>
        </w:rPr>
        <w:t>按照综合预算的原则，莲都</w:t>
      </w:r>
      <w:r>
        <w:rPr>
          <w:rFonts w:hint="eastAsia" w:ascii="仿宋_GB2312" w:eastAsia="仿宋_GB2312"/>
          <w:bCs/>
          <w:sz w:val="32"/>
          <w:szCs w:val="32"/>
          <w:lang w:eastAsia="zh-CN"/>
        </w:rPr>
        <w:t>区</w:t>
      </w:r>
      <w:r>
        <w:rPr>
          <w:rFonts w:hint="eastAsia" w:ascii="仿宋_GB2312" w:eastAsia="仿宋_GB2312"/>
          <w:bCs/>
          <w:sz w:val="32"/>
          <w:szCs w:val="32"/>
        </w:rPr>
        <w:t>人民法院</w:t>
      </w:r>
      <w:r>
        <w:rPr>
          <w:rFonts w:hint="eastAsia" w:ascii="仿宋_GB2312" w:eastAsia="仿宋_GB2312"/>
          <w:bCs/>
          <w:sz w:val="32"/>
          <w:szCs w:val="32"/>
          <w:lang w:eastAsia="zh-CN"/>
        </w:rPr>
        <w:t>审判保障服务中心</w:t>
      </w:r>
      <w:r>
        <w:rPr>
          <w:rFonts w:hint="eastAsia" w:ascii="仿宋_GB2312" w:eastAsia="仿宋_GB2312"/>
          <w:bCs/>
          <w:sz w:val="32"/>
          <w:szCs w:val="32"/>
        </w:rPr>
        <w:t>所有收入和支出均纳入</w:t>
      </w:r>
      <w:r>
        <w:rPr>
          <w:rFonts w:hint="eastAsia" w:ascii="仿宋_GB2312" w:eastAsia="仿宋_GB2312"/>
          <w:bCs/>
          <w:sz w:val="32"/>
          <w:szCs w:val="32"/>
          <w:lang w:eastAsia="zh-CN"/>
        </w:rPr>
        <w:t>单位</w:t>
      </w:r>
      <w:r>
        <w:rPr>
          <w:rFonts w:hint="eastAsia" w:ascii="仿宋_GB2312" w:eastAsia="仿宋_GB2312"/>
          <w:bCs/>
          <w:sz w:val="32"/>
          <w:szCs w:val="32"/>
        </w:rPr>
        <w:t>预算管理。收入包括：一般公共预算拨款收入；支出包括：公共安全支出、社会保障和就业支出、卫生健康支出、住房保障支出。</w:t>
      </w:r>
      <w:r>
        <w:rPr>
          <w:rFonts w:hint="eastAsia" w:ascii="仿宋_GB2312" w:eastAsia="仿宋_GB2312"/>
          <w:bCs/>
          <w:color w:val="auto"/>
          <w:sz w:val="32"/>
          <w:szCs w:val="32"/>
        </w:rPr>
        <w:t>莲都</w:t>
      </w:r>
      <w:r>
        <w:rPr>
          <w:rFonts w:hint="eastAsia" w:ascii="仿宋_GB2312" w:eastAsia="仿宋_GB2312"/>
          <w:bCs/>
          <w:color w:val="auto"/>
          <w:sz w:val="32"/>
          <w:szCs w:val="32"/>
          <w:lang w:eastAsia="zh-CN"/>
        </w:rPr>
        <w:t>区</w:t>
      </w:r>
      <w:r>
        <w:rPr>
          <w:rFonts w:hint="eastAsia" w:ascii="仿宋_GB2312" w:eastAsia="仿宋_GB2312"/>
          <w:bCs/>
          <w:color w:val="auto"/>
          <w:sz w:val="32"/>
          <w:szCs w:val="32"/>
        </w:rPr>
        <w:t>人民法院</w:t>
      </w:r>
      <w:r>
        <w:rPr>
          <w:rFonts w:hint="eastAsia" w:ascii="仿宋_GB2312" w:eastAsia="仿宋_GB2312"/>
          <w:bCs/>
          <w:sz w:val="32"/>
          <w:szCs w:val="32"/>
          <w:lang w:eastAsia="zh-CN"/>
        </w:rPr>
        <w:t>审判保障服务中心</w:t>
      </w:r>
      <w:r>
        <w:rPr>
          <w:rFonts w:hint="eastAsia" w:ascii="仿宋_GB2312" w:eastAsia="仿宋_GB2312"/>
          <w:bCs/>
          <w:color w:val="auto"/>
          <w:sz w:val="32"/>
          <w:szCs w:val="32"/>
        </w:rPr>
        <w:t>202</w:t>
      </w:r>
      <w:r>
        <w:rPr>
          <w:rFonts w:hint="eastAsia" w:ascii="仿宋_GB2312" w:eastAsia="仿宋_GB2312"/>
          <w:bCs/>
          <w:color w:val="auto"/>
          <w:sz w:val="32"/>
          <w:szCs w:val="32"/>
          <w:lang w:val="en-US" w:eastAsia="zh-CN"/>
        </w:rPr>
        <w:t>2</w:t>
      </w:r>
      <w:r>
        <w:rPr>
          <w:rFonts w:hint="eastAsia" w:ascii="仿宋_GB2312" w:eastAsia="仿宋_GB2312"/>
          <w:bCs/>
          <w:color w:val="auto"/>
          <w:sz w:val="32"/>
          <w:szCs w:val="32"/>
        </w:rPr>
        <w:t>年收支总预算</w:t>
      </w:r>
      <w:r>
        <w:rPr>
          <w:rFonts w:hint="eastAsia" w:ascii="仿宋_GB2312" w:eastAsia="仿宋_GB2312"/>
          <w:bCs/>
          <w:color w:val="auto"/>
          <w:sz w:val="32"/>
          <w:szCs w:val="32"/>
          <w:lang w:val="en-US" w:eastAsia="zh-CN"/>
        </w:rPr>
        <w:t>534.71</w:t>
      </w:r>
      <w:r>
        <w:rPr>
          <w:rFonts w:hint="eastAsia" w:ascii="仿宋_GB2312" w:eastAsia="仿宋_GB2312"/>
          <w:bCs/>
          <w:color w:val="auto"/>
          <w:sz w:val="32"/>
          <w:szCs w:val="32"/>
        </w:rPr>
        <w:t>万元。</w:t>
      </w:r>
    </w:p>
    <w:p>
      <w:pPr>
        <w:snapToGrid w:val="0"/>
        <w:spacing w:line="54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（二）关于莲都</w:t>
      </w:r>
      <w:r>
        <w:rPr>
          <w:rFonts w:hint="eastAsia" w:ascii="楷体_GB2312" w:hAnsi="楷体_GB2312" w:eastAsia="楷体_GB2312" w:cs="楷体_GB2312"/>
          <w:bCs/>
          <w:color w:val="000000"/>
          <w:sz w:val="32"/>
          <w:szCs w:val="32"/>
          <w:lang w:eastAsia="zh-CN"/>
        </w:rPr>
        <w:t>区</w:t>
      </w:r>
      <w:r>
        <w:rPr>
          <w:rFonts w:hint="eastAsia" w:ascii="楷体_GB2312" w:hAnsi="楷体_GB2312" w:eastAsia="楷体_GB2312" w:cs="楷体_GB2312"/>
          <w:bCs/>
          <w:color w:val="000000"/>
          <w:sz w:val="32"/>
          <w:szCs w:val="32"/>
        </w:rPr>
        <w:t>人民法院</w:t>
      </w:r>
      <w:r>
        <w:rPr>
          <w:rFonts w:hint="eastAsia" w:ascii="楷体_GB2312" w:hAnsi="楷体_GB2312" w:eastAsia="楷体_GB2312" w:cs="楷体_GB2312"/>
          <w:b w:val="0"/>
          <w:bCs/>
          <w:sz w:val="32"/>
          <w:szCs w:val="32"/>
          <w:highlight w:val="none"/>
          <w:lang w:eastAsia="zh-CN"/>
        </w:rPr>
        <w:t>审判保障服务中心</w:t>
      </w:r>
      <w:r>
        <w:rPr>
          <w:rFonts w:hint="eastAsia" w:ascii="楷体_GB2312" w:hAnsi="楷体_GB2312" w:eastAsia="楷体_GB2312" w:cs="楷体_GB2312"/>
          <w:bCs/>
          <w:color w:val="000000"/>
          <w:sz w:val="32"/>
          <w:szCs w:val="32"/>
        </w:rPr>
        <w:t>20</w:t>
      </w:r>
      <w:r>
        <w:rPr>
          <w:rFonts w:hint="eastAsia" w:ascii="楷体_GB2312" w:hAnsi="楷体_GB2312" w:eastAsia="楷体_GB2312" w:cs="楷体_GB2312"/>
          <w:bCs/>
          <w:color w:val="000000"/>
          <w:sz w:val="32"/>
          <w:szCs w:val="32"/>
          <w:lang w:val="en-US" w:eastAsia="zh-CN"/>
        </w:rPr>
        <w:t>22</w:t>
      </w:r>
      <w:r>
        <w:rPr>
          <w:rFonts w:hint="eastAsia" w:ascii="楷体_GB2312" w:hAnsi="楷体_GB2312" w:eastAsia="楷体_GB2312" w:cs="楷体_GB2312"/>
          <w:bCs/>
          <w:color w:val="000000"/>
          <w:sz w:val="32"/>
          <w:szCs w:val="32"/>
        </w:rPr>
        <w:t>年收入预算情况说明</w:t>
      </w:r>
    </w:p>
    <w:p>
      <w:pPr>
        <w:snapToGrid w:val="0"/>
        <w:spacing w:line="540" w:lineRule="exact"/>
        <w:ind w:firstLine="642"/>
        <w:rPr>
          <w:rFonts w:hint="eastAsia" w:ascii="仿宋_GB2312" w:eastAsia="仿宋_GB2312"/>
          <w:color w:val="auto"/>
          <w:sz w:val="32"/>
          <w:szCs w:val="32"/>
          <w:lang w:val="en-US" w:eastAsia="zh-CN"/>
        </w:rPr>
      </w:pPr>
      <w:r>
        <w:rPr>
          <w:rFonts w:hint="eastAsia" w:ascii="仿宋_GB2312" w:eastAsia="仿宋_GB2312"/>
          <w:bCs/>
          <w:sz w:val="32"/>
          <w:szCs w:val="32"/>
        </w:rPr>
        <w:t>莲都</w:t>
      </w:r>
      <w:r>
        <w:rPr>
          <w:rFonts w:hint="eastAsia" w:ascii="仿宋_GB2312" w:eastAsia="仿宋_GB2312"/>
          <w:bCs/>
          <w:sz w:val="32"/>
          <w:szCs w:val="32"/>
          <w:lang w:eastAsia="zh-CN"/>
        </w:rPr>
        <w:t>区</w:t>
      </w:r>
      <w:r>
        <w:rPr>
          <w:rFonts w:hint="eastAsia" w:ascii="仿宋_GB2312" w:eastAsia="仿宋_GB2312"/>
          <w:bCs/>
          <w:sz w:val="32"/>
          <w:szCs w:val="32"/>
        </w:rPr>
        <w:t>人民法院</w:t>
      </w:r>
      <w:r>
        <w:rPr>
          <w:rFonts w:hint="eastAsia" w:ascii="仿宋_GB2312" w:eastAsia="仿宋_GB2312"/>
          <w:bCs/>
          <w:sz w:val="32"/>
          <w:szCs w:val="32"/>
          <w:lang w:eastAsia="zh-CN"/>
        </w:rPr>
        <w:t>审判保障服务中心</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年收入预算</w:t>
      </w:r>
      <w:r>
        <w:rPr>
          <w:rFonts w:hint="eastAsia" w:ascii="仿宋_GB2312" w:eastAsia="仿宋_GB2312"/>
          <w:color w:val="auto"/>
          <w:sz w:val="32"/>
          <w:szCs w:val="32"/>
          <w:lang w:val="en-US" w:eastAsia="zh-CN"/>
        </w:rPr>
        <w:t>534.71</w:t>
      </w:r>
      <w:r>
        <w:rPr>
          <w:rFonts w:hint="eastAsia" w:ascii="仿宋_GB2312" w:eastAsia="仿宋_GB2312"/>
          <w:color w:val="auto"/>
          <w:sz w:val="32"/>
          <w:szCs w:val="32"/>
        </w:rPr>
        <w:t>万元，</w:t>
      </w:r>
      <w:r>
        <w:rPr>
          <w:rFonts w:hint="eastAsia" w:ascii="仿宋_GB2312" w:eastAsia="仿宋_GB2312"/>
          <w:color w:val="auto"/>
          <w:sz w:val="32"/>
          <w:szCs w:val="32"/>
          <w:lang w:eastAsia="zh-CN"/>
        </w:rPr>
        <w:t>较上年决算数增加</w:t>
      </w:r>
      <w:r>
        <w:rPr>
          <w:rFonts w:hint="eastAsia" w:ascii="仿宋_GB2312" w:eastAsia="仿宋_GB2312"/>
          <w:color w:val="auto"/>
          <w:sz w:val="32"/>
          <w:szCs w:val="32"/>
          <w:lang w:val="en-US" w:eastAsia="zh-CN"/>
        </w:rPr>
        <w:t>40.28万元，上升8.15%，主要原因为人员支出增加。</w:t>
      </w:r>
    </w:p>
    <w:p>
      <w:pPr>
        <w:snapToGrid w:val="0"/>
        <w:spacing w:line="540" w:lineRule="exact"/>
        <w:ind w:firstLine="642"/>
        <w:rPr>
          <w:rFonts w:ascii="仿宋_GB2312" w:eastAsia="仿宋_GB2312"/>
          <w:color w:val="0000FF"/>
          <w:sz w:val="32"/>
          <w:szCs w:val="32"/>
        </w:rPr>
      </w:pPr>
      <w:r>
        <w:rPr>
          <w:rFonts w:hint="eastAsia" w:ascii="仿宋_GB2312" w:eastAsia="仿宋_GB2312"/>
          <w:color w:val="auto"/>
          <w:sz w:val="32"/>
          <w:szCs w:val="32"/>
          <w:lang w:val="en-US" w:eastAsia="zh-CN"/>
        </w:rPr>
        <w:t>其中：</w:t>
      </w:r>
      <w:r>
        <w:rPr>
          <w:rFonts w:hint="eastAsia" w:ascii="仿宋_GB2312" w:eastAsia="仿宋_GB2312"/>
          <w:color w:val="auto"/>
          <w:sz w:val="32"/>
          <w:szCs w:val="32"/>
        </w:rPr>
        <w:t>一般公共预算拨款收入</w:t>
      </w:r>
      <w:r>
        <w:rPr>
          <w:rFonts w:hint="eastAsia" w:ascii="仿宋_GB2312" w:eastAsia="仿宋_GB2312"/>
          <w:color w:val="auto"/>
          <w:sz w:val="32"/>
          <w:szCs w:val="32"/>
          <w:lang w:val="en-US" w:eastAsia="zh-CN"/>
        </w:rPr>
        <w:t>534.71</w:t>
      </w:r>
      <w:r>
        <w:rPr>
          <w:rFonts w:hint="eastAsia" w:ascii="仿宋_GB2312" w:eastAsia="仿宋_GB2312"/>
          <w:color w:val="auto"/>
          <w:sz w:val="32"/>
          <w:szCs w:val="32"/>
        </w:rPr>
        <w:t>万元，占100%。</w:t>
      </w:r>
    </w:p>
    <w:p>
      <w:pPr>
        <w:snapToGrid w:val="0"/>
        <w:spacing w:line="540" w:lineRule="exact"/>
        <w:ind w:firstLine="642"/>
        <w:rPr>
          <w:rFonts w:ascii="仿宋_GB2312" w:eastAsia="仿宋_GB2312"/>
          <w:color w:val="auto"/>
          <w:sz w:val="32"/>
          <w:szCs w:val="32"/>
        </w:rPr>
      </w:pPr>
      <w:r>
        <w:rPr>
          <w:rFonts w:hint="eastAsia" w:ascii="楷体_GB2312" w:hAnsi="楷体_GB2312" w:eastAsia="楷体_GB2312" w:cs="楷体_GB2312"/>
          <w:bCs/>
          <w:color w:val="000000"/>
          <w:sz w:val="32"/>
          <w:szCs w:val="32"/>
        </w:rPr>
        <w:t>（三）关于莲都</w:t>
      </w:r>
      <w:r>
        <w:rPr>
          <w:rFonts w:hint="eastAsia" w:ascii="楷体_GB2312" w:hAnsi="楷体_GB2312" w:eastAsia="楷体_GB2312" w:cs="楷体_GB2312"/>
          <w:bCs/>
          <w:color w:val="000000"/>
          <w:sz w:val="32"/>
          <w:szCs w:val="32"/>
          <w:lang w:eastAsia="zh-CN"/>
        </w:rPr>
        <w:t>区</w:t>
      </w:r>
      <w:r>
        <w:rPr>
          <w:rFonts w:hint="eastAsia" w:ascii="楷体_GB2312" w:hAnsi="楷体_GB2312" w:eastAsia="楷体_GB2312" w:cs="楷体_GB2312"/>
          <w:bCs/>
          <w:color w:val="000000"/>
          <w:sz w:val="32"/>
          <w:szCs w:val="32"/>
        </w:rPr>
        <w:t>人民法院</w:t>
      </w:r>
      <w:r>
        <w:rPr>
          <w:rFonts w:hint="eastAsia" w:ascii="楷体_GB2312" w:hAnsi="楷体_GB2312" w:eastAsia="楷体_GB2312" w:cs="楷体_GB2312"/>
          <w:b w:val="0"/>
          <w:bCs/>
          <w:sz w:val="32"/>
          <w:szCs w:val="32"/>
          <w:highlight w:val="none"/>
          <w:lang w:eastAsia="zh-CN"/>
        </w:rPr>
        <w:t>审判保障服务中心</w:t>
      </w:r>
      <w:r>
        <w:rPr>
          <w:rFonts w:hint="eastAsia" w:ascii="楷体_GB2312" w:hAnsi="楷体_GB2312" w:eastAsia="楷体_GB2312" w:cs="楷体_GB2312"/>
          <w:bCs/>
          <w:color w:val="000000"/>
          <w:sz w:val="32"/>
          <w:szCs w:val="32"/>
        </w:rPr>
        <w:t>202</w:t>
      </w:r>
      <w:r>
        <w:rPr>
          <w:rFonts w:hint="eastAsia" w:ascii="楷体_GB2312" w:hAnsi="楷体_GB2312" w:eastAsia="楷体_GB2312" w:cs="楷体_GB2312"/>
          <w:bCs/>
          <w:color w:val="000000"/>
          <w:sz w:val="32"/>
          <w:szCs w:val="32"/>
          <w:lang w:val="en-US" w:eastAsia="zh-CN"/>
        </w:rPr>
        <w:t>2</w:t>
      </w:r>
      <w:r>
        <w:rPr>
          <w:rFonts w:hint="eastAsia" w:ascii="楷体_GB2312" w:hAnsi="楷体_GB2312" w:eastAsia="楷体_GB2312" w:cs="楷体_GB2312"/>
          <w:bCs/>
          <w:color w:val="000000"/>
          <w:sz w:val="32"/>
          <w:szCs w:val="32"/>
        </w:rPr>
        <w:t>年支出预算情况说明</w:t>
      </w:r>
      <w:r>
        <w:rPr>
          <w:rFonts w:hint="eastAsia" w:ascii="仿宋_GB2312" w:eastAsia="仿宋_GB2312"/>
          <w:bCs/>
          <w:color w:val="000000"/>
          <w:sz w:val="32"/>
          <w:szCs w:val="32"/>
        </w:rPr>
        <w:br w:type="textWrapping"/>
      </w:r>
      <w:r>
        <w:rPr>
          <w:rFonts w:hint="eastAsia" w:ascii="仿宋_GB2312" w:eastAsia="仿宋_GB2312"/>
          <w:color w:val="000000"/>
          <w:sz w:val="32"/>
          <w:szCs w:val="32"/>
        </w:rPr>
        <w:t>　</w:t>
      </w:r>
      <w:r>
        <w:rPr>
          <w:rFonts w:hint="eastAsia" w:ascii="仿宋_GB2312" w:eastAsia="仿宋_GB2312"/>
          <w:color w:val="auto"/>
          <w:sz w:val="32"/>
          <w:szCs w:val="32"/>
        </w:rPr>
        <w:t>　</w:t>
      </w:r>
      <w:r>
        <w:rPr>
          <w:rFonts w:hint="eastAsia" w:ascii="仿宋_GB2312" w:eastAsia="仿宋_GB2312"/>
          <w:bCs/>
          <w:sz w:val="32"/>
          <w:szCs w:val="32"/>
        </w:rPr>
        <w:t>莲都</w:t>
      </w:r>
      <w:r>
        <w:rPr>
          <w:rFonts w:hint="eastAsia" w:ascii="仿宋_GB2312" w:eastAsia="仿宋_GB2312"/>
          <w:bCs/>
          <w:sz w:val="32"/>
          <w:szCs w:val="32"/>
          <w:lang w:eastAsia="zh-CN"/>
        </w:rPr>
        <w:t>区</w:t>
      </w:r>
      <w:r>
        <w:rPr>
          <w:rFonts w:hint="eastAsia" w:ascii="仿宋_GB2312" w:eastAsia="仿宋_GB2312"/>
          <w:bCs/>
          <w:sz w:val="32"/>
          <w:szCs w:val="32"/>
        </w:rPr>
        <w:t>人民法院</w:t>
      </w:r>
      <w:r>
        <w:rPr>
          <w:rFonts w:hint="eastAsia" w:ascii="仿宋_GB2312" w:eastAsia="仿宋_GB2312"/>
          <w:bCs/>
          <w:sz w:val="32"/>
          <w:szCs w:val="32"/>
          <w:lang w:eastAsia="zh-CN"/>
        </w:rPr>
        <w:t>审判保障服务中心</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年支出预算</w:t>
      </w:r>
      <w:r>
        <w:rPr>
          <w:rFonts w:hint="eastAsia" w:ascii="仿宋_GB2312" w:eastAsia="仿宋_GB2312"/>
          <w:color w:val="auto"/>
          <w:sz w:val="32"/>
          <w:szCs w:val="32"/>
          <w:lang w:val="en-US" w:eastAsia="zh-CN"/>
        </w:rPr>
        <w:t>534.71</w:t>
      </w:r>
      <w:r>
        <w:rPr>
          <w:rFonts w:hint="eastAsia" w:ascii="仿宋_GB2312" w:eastAsia="仿宋_GB2312"/>
          <w:color w:val="auto"/>
          <w:sz w:val="32"/>
          <w:szCs w:val="32"/>
        </w:rPr>
        <w:t>万元</w:t>
      </w:r>
      <w:r>
        <w:rPr>
          <w:rFonts w:hint="eastAsia" w:ascii="仿宋_GB2312" w:eastAsia="仿宋_GB2312"/>
          <w:color w:val="auto"/>
          <w:sz w:val="32"/>
          <w:szCs w:val="32"/>
          <w:lang w:eastAsia="zh-CN"/>
        </w:rPr>
        <w:t>，较上年决算数增加</w:t>
      </w:r>
      <w:r>
        <w:rPr>
          <w:rFonts w:hint="eastAsia" w:ascii="仿宋_GB2312" w:eastAsia="仿宋_GB2312"/>
          <w:color w:val="auto"/>
          <w:sz w:val="32"/>
          <w:szCs w:val="32"/>
          <w:lang w:val="en-US" w:eastAsia="zh-CN"/>
        </w:rPr>
        <w:t>40.28万元，上升8.15%，主要原因为人员支出增加</w:t>
      </w:r>
      <w:r>
        <w:rPr>
          <w:rFonts w:hint="eastAsia" w:ascii="仿宋_GB2312" w:eastAsia="仿宋_GB2312"/>
          <w:color w:val="auto"/>
          <w:sz w:val="32"/>
          <w:szCs w:val="32"/>
        </w:rPr>
        <w:t>。</w:t>
      </w:r>
    </w:p>
    <w:p>
      <w:pPr>
        <w:snapToGrid w:val="0"/>
        <w:spacing w:line="540" w:lineRule="exact"/>
        <w:ind w:firstLine="630"/>
        <w:rPr>
          <w:rFonts w:ascii="仿宋_GB2312" w:eastAsia="仿宋_GB2312"/>
          <w:color w:val="auto"/>
          <w:sz w:val="32"/>
          <w:szCs w:val="32"/>
        </w:rPr>
      </w:pPr>
      <w:r>
        <w:rPr>
          <w:rFonts w:hint="eastAsia" w:ascii="仿宋_GB2312" w:hAnsi="仿宋_GB2312" w:eastAsia="仿宋_GB2312" w:cs="仿宋_GB2312"/>
          <w:b/>
          <w:color w:val="000000"/>
          <w:sz w:val="32"/>
          <w:szCs w:val="32"/>
        </w:rPr>
        <w:t>1.按支出功能分类，</w:t>
      </w:r>
      <w:r>
        <w:rPr>
          <w:rFonts w:hint="eastAsia" w:ascii="仿宋_GB2312" w:eastAsia="仿宋_GB2312"/>
          <w:color w:val="auto"/>
          <w:sz w:val="32"/>
          <w:szCs w:val="32"/>
        </w:rPr>
        <w:t>公共安全支出</w:t>
      </w:r>
      <w:r>
        <w:rPr>
          <w:rFonts w:hint="eastAsia" w:ascii="仿宋_GB2312" w:eastAsia="仿宋_GB2312"/>
          <w:color w:val="auto"/>
          <w:sz w:val="32"/>
          <w:szCs w:val="32"/>
          <w:lang w:val="en-US" w:eastAsia="zh-CN"/>
        </w:rPr>
        <w:t>415.06</w:t>
      </w:r>
      <w:r>
        <w:rPr>
          <w:rFonts w:hint="eastAsia" w:ascii="仿宋_GB2312" w:eastAsia="仿宋_GB2312"/>
          <w:color w:val="auto"/>
          <w:sz w:val="32"/>
          <w:szCs w:val="32"/>
        </w:rPr>
        <w:t>万元、社会保障和就业支出</w:t>
      </w:r>
      <w:r>
        <w:rPr>
          <w:rFonts w:hint="eastAsia" w:ascii="仿宋_GB2312" w:eastAsia="仿宋_GB2312"/>
          <w:color w:val="auto"/>
          <w:sz w:val="32"/>
          <w:szCs w:val="32"/>
          <w:lang w:val="en-US" w:eastAsia="zh-CN"/>
        </w:rPr>
        <w:t>39.47</w:t>
      </w:r>
      <w:r>
        <w:rPr>
          <w:rFonts w:hint="eastAsia" w:ascii="仿宋_GB2312" w:eastAsia="仿宋_GB2312"/>
          <w:color w:val="auto"/>
          <w:sz w:val="32"/>
          <w:szCs w:val="32"/>
        </w:rPr>
        <w:t>万元、卫生健康支出</w:t>
      </w:r>
      <w:r>
        <w:rPr>
          <w:rFonts w:hint="eastAsia" w:ascii="仿宋_GB2312" w:eastAsia="仿宋_GB2312"/>
          <w:color w:val="auto"/>
          <w:sz w:val="32"/>
          <w:szCs w:val="32"/>
          <w:lang w:val="en-US" w:eastAsia="zh-CN"/>
        </w:rPr>
        <w:t>25.28</w:t>
      </w:r>
      <w:r>
        <w:rPr>
          <w:rFonts w:hint="eastAsia" w:ascii="仿宋_GB2312" w:eastAsia="仿宋_GB2312"/>
          <w:color w:val="auto"/>
          <w:sz w:val="32"/>
          <w:szCs w:val="32"/>
        </w:rPr>
        <w:t>万元、住房保障支出</w:t>
      </w:r>
      <w:r>
        <w:rPr>
          <w:rFonts w:hint="eastAsia" w:ascii="仿宋_GB2312" w:eastAsia="仿宋_GB2312"/>
          <w:color w:val="auto"/>
          <w:sz w:val="32"/>
          <w:szCs w:val="32"/>
          <w:lang w:val="en-US" w:eastAsia="zh-CN"/>
        </w:rPr>
        <w:t>54.89</w:t>
      </w:r>
      <w:r>
        <w:rPr>
          <w:rFonts w:hint="eastAsia" w:ascii="仿宋_GB2312" w:eastAsia="仿宋_GB2312"/>
          <w:color w:val="auto"/>
          <w:sz w:val="32"/>
          <w:szCs w:val="32"/>
        </w:rPr>
        <w:t>万元。</w:t>
      </w:r>
    </w:p>
    <w:p>
      <w:pPr>
        <w:snapToGrid w:val="0"/>
        <w:spacing w:line="540" w:lineRule="exact"/>
        <w:ind w:firstLine="642"/>
        <w:rPr>
          <w:rFonts w:ascii="仿宋_GB2312" w:eastAsia="仿宋_GB2312"/>
          <w:color w:val="auto"/>
          <w:sz w:val="32"/>
          <w:szCs w:val="32"/>
        </w:rPr>
      </w:pPr>
      <w:r>
        <w:rPr>
          <w:rFonts w:hint="eastAsia" w:ascii="仿宋_GB2312" w:hAnsi="仿宋_GB2312" w:eastAsia="仿宋_GB2312" w:cs="仿宋_GB2312"/>
          <w:b/>
          <w:color w:val="000000"/>
          <w:sz w:val="32"/>
          <w:szCs w:val="32"/>
        </w:rPr>
        <w:t>2.按支出用途分类，</w:t>
      </w:r>
      <w:r>
        <w:rPr>
          <w:rFonts w:hint="eastAsia" w:ascii="仿宋_GB2312" w:eastAsia="仿宋_GB2312"/>
          <w:color w:val="auto"/>
          <w:sz w:val="32"/>
          <w:szCs w:val="32"/>
        </w:rPr>
        <w:t>包括人员支出</w:t>
      </w:r>
      <w:r>
        <w:rPr>
          <w:rFonts w:hint="eastAsia" w:ascii="仿宋_GB2312" w:eastAsia="仿宋_GB2312"/>
          <w:color w:val="auto"/>
          <w:sz w:val="32"/>
          <w:szCs w:val="32"/>
          <w:lang w:val="en-US" w:eastAsia="zh-CN"/>
        </w:rPr>
        <w:t>499.06</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93.33</w:t>
      </w:r>
      <w:r>
        <w:rPr>
          <w:rFonts w:hint="eastAsia" w:ascii="仿宋_GB2312" w:eastAsia="仿宋_GB2312"/>
          <w:color w:val="auto"/>
          <w:sz w:val="32"/>
          <w:szCs w:val="32"/>
        </w:rPr>
        <w:t>%；日常公用支出</w:t>
      </w:r>
      <w:r>
        <w:rPr>
          <w:rFonts w:hint="eastAsia" w:ascii="仿宋_GB2312" w:eastAsia="仿宋_GB2312"/>
          <w:color w:val="auto"/>
          <w:sz w:val="32"/>
          <w:szCs w:val="32"/>
          <w:lang w:val="en-US" w:eastAsia="zh-CN"/>
        </w:rPr>
        <w:t>35.65</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6.67</w:t>
      </w:r>
      <w:r>
        <w:rPr>
          <w:rFonts w:hint="eastAsia" w:ascii="仿宋_GB2312" w:eastAsia="仿宋_GB2312"/>
          <w:color w:val="auto"/>
          <w:sz w:val="32"/>
          <w:szCs w:val="32"/>
        </w:rPr>
        <w:t>%。</w:t>
      </w:r>
    </w:p>
    <w:p>
      <w:pPr>
        <w:snapToGrid w:val="0"/>
        <w:spacing w:line="54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（四）关于莲都</w:t>
      </w:r>
      <w:r>
        <w:rPr>
          <w:rFonts w:hint="eastAsia" w:ascii="楷体_GB2312" w:hAnsi="楷体_GB2312" w:eastAsia="楷体_GB2312" w:cs="楷体_GB2312"/>
          <w:bCs/>
          <w:color w:val="000000"/>
          <w:sz w:val="32"/>
          <w:szCs w:val="32"/>
          <w:lang w:eastAsia="zh-CN"/>
        </w:rPr>
        <w:t>区</w:t>
      </w:r>
      <w:r>
        <w:rPr>
          <w:rFonts w:hint="eastAsia" w:ascii="楷体_GB2312" w:hAnsi="楷体_GB2312" w:eastAsia="楷体_GB2312" w:cs="楷体_GB2312"/>
          <w:bCs/>
          <w:color w:val="000000"/>
          <w:sz w:val="32"/>
          <w:szCs w:val="32"/>
        </w:rPr>
        <w:t>人民法院</w:t>
      </w:r>
      <w:r>
        <w:rPr>
          <w:rFonts w:hint="eastAsia" w:ascii="楷体_GB2312" w:hAnsi="楷体_GB2312" w:eastAsia="楷体_GB2312" w:cs="楷体_GB2312"/>
          <w:b w:val="0"/>
          <w:bCs/>
          <w:sz w:val="32"/>
          <w:szCs w:val="32"/>
          <w:highlight w:val="none"/>
          <w:lang w:eastAsia="zh-CN"/>
        </w:rPr>
        <w:t>审判保障服务中心</w:t>
      </w:r>
      <w:r>
        <w:rPr>
          <w:rFonts w:hint="eastAsia" w:ascii="楷体_GB2312" w:hAnsi="楷体_GB2312" w:eastAsia="楷体_GB2312" w:cs="楷体_GB2312"/>
          <w:bCs/>
          <w:color w:val="000000"/>
          <w:sz w:val="32"/>
          <w:szCs w:val="32"/>
        </w:rPr>
        <w:t>202</w:t>
      </w:r>
      <w:r>
        <w:rPr>
          <w:rFonts w:hint="eastAsia" w:ascii="楷体_GB2312" w:hAnsi="楷体_GB2312" w:eastAsia="楷体_GB2312" w:cs="楷体_GB2312"/>
          <w:bCs/>
          <w:color w:val="000000"/>
          <w:sz w:val="32"/>
          <w:szCs w:val="32"/>
          <w:lang w:val="en-US" w:eastAsia="zh-CN"/>
        </w:rPr>
        <w:t>2</w:t>
      </w:r>
      <w:r>
        <w:rPr>
          <w:rFonts w:hint="eastAsia" w:ascii="楷体_GB2312" w:hAnsi="楷体_GB2312" w:eastAsia="楷体_GB2312" w:cs="楷体_GB2312"/>
          <w:bCs/>
          <w:color w:val="000000"/>
          <w:sz w:val="32"/>
          <w:szCs w:val="32"/>
        </w:rPr>
        <w:t>年财政拨款收支预算情况的总体说明</w:t>
      </w:r>
    </w:p>
    <w:p>
      <w:pPr>
        <w:snapToGrid w:val="0"/>
        <w:spacing w:line="540" w:lineRule="exact"/>
        <w:ind w:firstLine="640"/>
        <w:rPr>
          <w:rFonts w:ascii="仿宋_GB2312" w:eastAsia="仿宋_GB2312"/>
          <w:color w:val="0000FF"/>
          <w:sz w:val="32"/>
          <w:szCs w:val="32"/>
        </w:rPr>
      </w:pPr>
      <w:r>
        <w:rPr>
          <w:rFonts w:hint="eastAsia" w:ascii="仿宋_GB2312" w:eastAsia="仿宋_GB2312"/>
          <w:bCs/>
          <w:sz w:val="32"/>
          <w:szCs w:val="32"/>
        </w:rPr>
        <w:t>莲都</w:t>
      </w:r>
      <w:r>
        <w:rPr>
          <w:rFonts w:hint="eastAsia" w:ascii="仿宋_GB2312" w:eastAsia="仿宋_GB2312"/>
          <w:bCs/>
          <w:sz w:val="32"/>
          <w:szCs w:val="32"/>
          <w:lang w:eastAsia="zh-CN"/>
        </w:rPr>
        <w:t>区</w:t>
      </w:r>
      <w:r>
        <w:rPr>
          <w:rFonts w:hint="eastAsia" w:ascii="仿宋_GB2312" w:eastAsia="仿宋_GB2312"/>
          <w:bCs/>
          <w:sz w:val="32"/>
          <w:szCs w:val="32"/>
        </w:rPr>
        <w:t>人民法院</w:t>
      </w:r>
      <w:r>
        <w:rPr>
          <w:rFonts w:hint="eastAsia" w:ascii="仿宋_GB2312" w:eastAsia="仿宋_GB2312"/>
          <w:bCs/>
          <w:sz w:val="32"/>
          <w:szCs w:val="32"/>
          <w:lang w:eastAsia="zh-CN"/>
        </w:rPr>
        <w:t>审判保障服务中心</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年财政拨款收支总预算</w:t>
      </w:r>
      <w:r>
        <w:rPr>
          <w:rFonts w:hint="eastAsia" w:ascii="仿宋_GB2312" w:eastAsia="仿宋_GB2312"/>
          <w:color w:val="auto"/>
          <w:sz w:val="32"/>
          <w:szCs w:val="32"/>
          <w:lang w:val="en-US" w:eastAsia="zh-CN"/>
        </w:rPr>
        <w:t>534.71</w:t>
      </w:r>
      <w:r>
        <w:rPr>
          <w:rFonts w:hint="eastAsia" w:ascii="仿宋_GB2312" w:eastAsia="仿宋_GB2312"/>
          <w:color w:val="auto"/>
          <w:sz w:val="32"/>
          <w:szCs w:val="32"/>
        </w:rPr>
        <w:t>万元。收入包括：</w:t>
      </w:r>
      <w:r>
        <w:rPr>
          <w:rFonts w:hint="eastAsia" w:ascii="仿宋_GB2312" w:eastAsia="仿宋_GB2312"/>
          <w:color w:val="auto"/>
          <w:sz w:val="32"/>
          <w:szCs w:val="32"/>
          <w:lang w:eastAsia="zh-CN"/>
        </w:rPr>
        <w:t>一般公共预算</w:t>
      </w:r>
      <w:r>
        <w:rPr>
          <w:rFonts w:hint="eastAsia" w:ascii="仿宋_GB2312" w:eastAsia="仿宋_GB2312"/>
          <w:color w:val="auto"/>
          <w:sz w:val="32"/>
          <w:szCs w:val="32"/>
          <w:lang w:val="en-US" w:eastAsia="zh-CN"/>
        </w:rPr>
        <w:t>534.71万元，政府性基金0万元，国有资本经营预算0万元；支出包括：</w:t>
      </w:r>
      <w:r>
        <w:rPr>
          <w:rFonts w:hint="eastAsia" w:ascii="仿宋_GB2312" w:eastAsia="仿宋_GB2312"/>
          <w:color w:val="auto"/>
          <w:sz w:val="32"/>
          <w:szCs w:val="32"/>
        </w:rPr>
        <w:t>公共安全支出</w:t>
      </w:r>
      <w:r>
        <w:rPr>
          <w:rFonts w:hint="eastAsia" w:ascii="仿宋_GB2312" w:eastAsia="仿宋_GB2312"/>
          <w:color w:val="auto"/>
          <w:sz w:val="32"/>
          <w:szCs w:val="32"/>
          <w:lang w:val="en-US" w:eastAsia="zh-CN"/>
        </w:rPr>
        <w:t>415.06</w:t>
      </w:r>
      <w:r>
        <w:rPr>
          <w:rFonts w:hint="eastAsia" w:ascii="仿宋_GB2312" w:eastAsia="仿宋_GB2312"/>
          <w:color w:val="auto"/>
          <w:sz w:val="32"/>
          <w:szCs w:val="32"/>
        </w:rPr>
        <w:t>万元、社会保障和就业支出</w:t>
      </w:r>
      <w:r>
        <w:rPr>
          <w:rFonts w:hint="eastAsia" w:ascii="仿宋_GB2312" w:eastAsia="仿宋_GB2312"/>
          <w:color w:val="auto"/>
          <w:sz w:val="32"/>
          <w:szCs w:val="32"/>
          <w:lang w:val="en-US" w:eastAsia="zh-CN"/>
        </w:rPr>
        <w:t>39.47</w:t>
      </w:r>
      <w:r>
        <w:rPr>
          <w:rFonts w:hint="eastAsia" w:ascii="仿宋_GB2312" w:eastAsia="仿宋_GB2312"/>
          <w:color w:val="auto"/>
          <w:sz w:val="32"/>
          <w:szCs w:val="32"/>
        </w:rPr>
        <w:t>万元、卫生健康支出</w:t>
      </w:r>
      <w:r>
        <w:rPr>
          <w:rFonts w:hint="eastAsia" w:ascii="仿宋_GB2312" w:eastAsia="仿宋_GB2312"/>
          <w:color w:val="auto"/>
          <w:sz w:val="32"/>
          <w:szCs w:val="32"/>
          <w:lang w:val="en-US" w:eastAsia="zh-CN"/>
        </w:rPr>
        <w:t>25.28</w:t>
      </w:r>
      <w:r>
        <w:rPr>
          <w:rFonts w:hint="eastAsia" w:ascii="仿宋_GB2312" w:eastAsia="仿宋_GB2312"/>
          <w:color w:val="auto"/>
          <w:sz w:val="32"/>
          <w:szCs w:val="32"/>
        </w:rPr>
        <w:t>万元、住房保障支出</w:t>
      </w:r>
      <w:r>
        <w:rPr>
          <w:rFonts w:hint="eastAsia" w:ascii="仿宋_GB2312" w:eastAsia="仿宋_GB2312"/>
          <w:color w:val="auto"/>
          <w:sz w:val="32"/>
          <w:szCs w:val="32"/>
          <w:lang w:val="en-US" w:eastAsia="zh-CN"/>
        </w:rPr>
        <w:t>54.89</w:t>
      </w:r>
      <w:r>
        <w:rPr>
          <w:rFonts w:hint="eastAsia" w:ascii="仿宋_GB2312" w:eastAsia="仿宋_GB2312"/>
          <w:color w:val="auto"/>
          <w:sz w:val="32"/>
          <w:szCs w:val="32"/>
        </w:rPr>
        <w:t>万元。</w:t>
      </w:r>
    </w:p>
    <w:p>
      <w:pPr>
        <w:numPr>
          <w:ilvl w:val="0"/>
          <w:numId w:val="3"/>
        </w:numPr>
        <w:snapToGrid w:val="0"/>
        <w:spacing w:line="54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关于莲都</w:t>
      </w:r>
      <w:r>
        <w:rPr>
          <w:rFonts w:hint="eastAsia" w:ascii="楷体_GB2312" w:hAnsi="楷体_GB2312" w:eastAsia="楷体_GB2312" w:cs="楷体_GB2312"/>
          <w:bCs/>
          <w:color w:val="000000"/>
          <w:sz w:val="32"/>
          <w:szCs w:val="32"/>
          <w:lang w:eastAsia="zh-CN"/>
        </w:rPr>
        <w:t>区</w:t>
      </w:r>
      <w:r>
        <w:rPr>
          <w:rFonts w:hint="eastAsia" w:ascii="楷体_GB2312" w:hAnsi="楷体_GB2312" w:eastAsia="楷体_GB2312" w:cs="楷体_GB2312"/>
          <w:bCs/>
          <w:color w:val="000000"/>
          <w:sz w:val="32"/>
          <w:szCs w:val="32"/>
        </w:rPr>
        <w:t>人民法院</w:t>
      </w:r>
      <w:r>
        <w:rPr>
          <w:rFonts w:hint="eastAsia" w:ascii="楷体_GB2312" w:hAnsi="楷体_GB2312" w:eastAsia="楷体_GB2312" w:cs="楷体_GB2312"/>
          <w:b w:val="0"/>
          <w:bCs/>
          <w:sz w:val="32"/>
          <w:szCs w:val="32"/>
          <w:highlight w:val="none"/>
          <w:lang w:eastAsia="zh-CN"/>
        </w:rPr>
        <w:t>审判保障服务中心</w:t>
      </w:r>
      <w:r>
        <w:rPr>
          <w:rFonts w:hint="eastAsia" w:ascii="楷体_GB2312" w:hAnsi="楷体_GB2312" w:eastAsia="楷体_GB2312" w:cs="楷体_GB2312"/>
          <w:bCs/>
          <w:color w:val="000000"/>
          <w:sz w:val="32"/>
          <w:szCs w:val="32"/>
        </w:rPr>
        <w:t>202</w:t>
      </w:r>
      <w:r>
        <w:rPr>
          <w:rFonts w:hint="eastAsia" w:ascii="楷体_GB2312" w:hAnsi="楷体_GB2312" w:eastAsia="楷体_GB2312" w:cs="楷体_GB2312"/>
          <w:bCs/>
          <w:color w:val="000000"/>
          <w:sz w:val="32"/>
          <w:szCs w:val="32"/>
          <w:lang w:val="en-US" w:eastAsia="zh-CN"/>
        </w:rPr>
        <w:t>2</w:t>
      </w:r>
      <w:r>
        <w:rPr>
          <w:rFonts w:hint="eastAsia" w:ascii="楷体_GB2312" w:hAnsi="楷体_GB2312" w:eastAsia="楷体_GB2312" w:cs="楷体_GB2312"/>
          <w:bCs/>
          <w:color w:val="000000"/>
          <w:sz w:val="32"/>
          <w:szCs w:val="32"/>
        </w:rPr>
        <w:t>年一般公共预算当年拨款情况说明</w:t>
      </w:r>
    </w:p>
    <w:p>
      <w:pPr>
        <w:snapToGrid w:val="0"/>
        <w:spacing w:line="54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1.一般公共预算当年拨款规模变化情况。</w:t>
      </w:r>
    </w:p>
    <w:p>
      <w:pPr>
        <w:snapToGrid w:val="0"/>
        <w:spacing w:line="540" w:lineRule="exact"/>
        <w:ind w:firstLine="642"/>
        <w:rPr>
          <w:rFonts w:ascii="仿宋_GB2312" w:eastAsia="仿宋_GB2312"/>
          <w:color w:val="auto"/>
          <w:sz w:val="32"/>
          <w:szCs w:val="32"/>
        </w:rPr>
      </w:pPr>
      <w:r>
        <w:rPr>
          <w:rFonts w:hint="eastAsia" w:ascii="仿宋_GB2312" w:eastAsia="仿宋_GB2312"/>
          <w:bCs/>
          <w:sz w:val="32"/>
          <w:szCs w:val="32"/>
        </w:rPr>
        <w:t>莲都</w:t>
      </w:r>
      <w:r>
        <w:rPr>
          <w:rFonts w:hint="eastAsia" w:ascii="仿宋_GB2312" w:eastAsia="仿宋_GB2312"/>
          <w:bCs/>
          <w:sz w:val="32"/>
          <w:szCs w:val="32"/>
          <w:lang w:eastAsia="zh-CN"/>
        </w:rPr>
        <w:t>区</w:t>
      </w:r>
      <w:r>
        <w:rPr>
          <w:rFonts w:hint="eastAsia" w:ascii="仿宋_GB2312" w:eastAsia="仿宋_GB2312"/>
          <w:bCs/>
          <w:sz w:val="32"/>
          <w:szCs w:val="32"/>
        </w:rPr>
        <w:t>人民法院</w:t>
      </w:r>
      <w:r>
        <w:rPr>
          <w:rFonts w:hint="eastAsia" w:ascii="仿宋_GB2312" w:eastAsia="仿宋_GB2312"/>
          <w:bCs/>
          <w:sz w:val="32"/>
          <w:szCs w:val="32"/>
          <w:lang w:eastAsia="zh-CN"/>
        </w:rPr>
        <w:t>审判保障服务中心</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年一般公共预算当年拨款</w:t>
      </w:r>
      <w:r>
        <w:rPr>
          <w:rFonts w:hint="eastAsia" w:ascii="仿宋_GB2312" w:eastAsia="仿宋_GB2312"/>
          <w:color w:val="auto"/>
          <w:sz w:val="32"/>
          <w:szCs w:val="32"/>
          <w:lang w:val="en-US" w:eastAsia="zh-CN"/>
        </w:rPr>
        <w:t>534.71</w:t>
      </w:r>
      <w:r>
        <w:rPr>
          <w:rFonts w:hint="eastAsia" w:ascii="仿宋_GB2312" w:eastAsia="仿宋_GB2312"/>
          <w:color w:val="auto"/>
          <w:sz w:val="32"/>
          <w:szCs w:val="32"/>
        </w:rPr>
        <w:t>万元，比20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年执行数增加</w:t>
      </w:r>
      <w:r>
        <w:rPr>
          <w:rFonts w:hint="eastAsia" w:ascii="仿宋_GB2312" w:eastAsia="仿宋_GB2312"/>
          <w:color w:val="auto"/>
          <w:sz w:val="32"/>
          <w:szCs w:val="32"/>
          <w:lang w:val="en-US" w:eastAsia="zh-CN"/>
        </w:rPr>
        <w:t>40.28</w:t>
      </w:r>
      <w:r>
        <w:rPr>
          <w:rFonts w:hint="eastAsia" w:ascii="仿宋_GB2312" w:eastAsia="仿宋_GB2312"/>
          <w:color w:val="auto"/>
          <w:sz w:val="32"/>
          <w:szCs w:val="32"/>
        </w:rPr>
        <w:t>万元，主要是</w:t>
      </w:r>
      <w:r>
        <w:rPr>
          <w:rFonts w:hint="eastAsia" w:ascii="仿宋_GB2312" w:eastAsia="仿宋_GB2312"/>
          <w:color w:val="auto"/>
          <w:sz w:val="32"/>
          <w:szCs w:val="32"/>
          <w:lang w:eastAsia="zh-CN"/>
        </w:rPr>
        <w:t>人员工资福利待遇的提高</w:t>
      </w:r>
      <w:r>
        <w:rPr>
          <w:rFonts w:hint="eastAsia" w:ascii="仿宋_GB2312" w:eastAsia="仿宋_GB2312"/>
          <w:color w:val="auto"/>
          <w:sz w:val="32"/>
          <w:szCs w:val="32"/>
        </w:rPr>
        <w:t>。</w:t>
      </w:r>
    </w:p>
    <w:p>
      <w:pPr>
        <w:snapToGrid w:val="0"/>
        <w:spacing w:line="54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2.一般公共预算当年拨款结构情况。</w:t>
      </w:r>
    </w:p>
    <w:p>
      <w:pPr>
        <w:snapToGrid w:val="0"/>
        <w:spacing w:line="540" w:lineRule="exact"/>
        <w:ind w:firstLine="640" w:firstLineChars="200"/>
        <w:rPr>
          <w:rFonts w:ascii="仿宋_GB2312" w:eastAsia="仿宋_GB2312"/>
          <w:color w:val="0000FF"/>
          <w:sz w:val="32"/>
          <w:szCs w:val="32"/>
        </w:rPr>
      </w:pPr>
      <w:r>
        <w:rPr>
          <w:rFonts w:hint="eastAsia" w:ascii="仿宋_GB2312" w:eastAsia="仿宋_GB2312"/>
          <w:color w:val="auto"/>
          <w:sz w:val="32"/>
          <w:szCs w:val="32"/>
        </w:rPr>
        <w:t>公共安全（类）支出</w:t>
      </w:r>
      <w:r>
        <w:rPr>
          <w:rFonts w:hint="eastAsia" w:ascii="仿宋_GB2312" w:eastAsia="仿宋_GB2312"/>
          <w:color w:val="auto"/>
          <w:sz w:val="32"/>
          <w:szCs w:val="32"/>
          <w:lang w:val="en-US" w:eastAsia="zh-CN"/>
        </w:rPr>
        <w:t>415.06</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77.62</w:t>
      </w:r>
      <w:r>
        <w:rPr>
          <w:rFonts w:hint="eastAsia" w:ascii="仿宋_GB2312" w:eastAsia="仿宋_GB2312"/>
          <w:color w:val="auto"/>
          <w:sz w:val="32"/>
          <w:szCs w:val="32"/>
        </w:rPr>
        <w:t>%；社会保障和就业（类）支出</w:t>
      </w:r>
      <w:r>
        <w:rPr>
          <w:rFonts w:hint="eastAsia" w:ascii="仿宋_GB2312" w:eastAsia="仿宋_GB2312"/>
          <w:color w:val="auto"/>
          <w:sz w:val="32"/>
          <w:szCs w:val="32"/>
          <w:lang w:val="en-US" w:eastAsia="zh-CN"/>
        </w:rPr>
        <w:t>39.47</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7.38</w:t>
      </w:r>
      <w:r>
        <w:rPr>
          <w:rFonts w:hint="eastAsia" w:ascii="仿宋_GB2312" w:eastAsia="仿宋_GB2312"/>
          <w:color w:val="auto"/>
          <w:sz w:val="32"/>
          <w:szCs w:val="32"/>
        </w:rPr>
        <w:t>%；卫生健康（类）支出</w:t>
      </w:r>
      <w:r>
        <w:rPr>
          <w:rFonts w:hint="eastAsia" w:ascii="仿宋_GB2312" w:eastAsia="仿宋_GB2312"/>
          <w:color w:val="auto"/>
          <w:sz w:val="32"/>
          <w:szCs w:val="32"/>
          <w:lang w:val="en-US" w:eastAsia="zh-CN"/>
        </w:rPr>
        <w:t>25.28</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4.73</w:t>
      </w:r>
      <w:r>
        <w:rPr>
          <w:rFonts w:hint="eastAsia" w:ascii="仿宋_GB2312" w:eastAsia="仿宋_GB2312"/>
          <w:color w:val="auto"/>
          <w:sz w:val="32"/>
          <w:szCs w:val="32"/>
        </w:rPr>
        <w:t>%；住房保障（类）支出</w:t>
      </w:r>
      <w:r>
        <w:rPr>
          <w:rFonts w:hint="eastAsia" w:ascii="仿宋_GB2312" w:eastAsia="仿宋_GB2312"/>
          <w:color w:val="auto"/>
          <w:sz w:val="32"/>
          <w:szCs w:val="32"/>
          <w:lang w:val="en-US" w:eastAsia="zh-CN"/>
        </w:rPr>
        <w:t>54.89</w:t>
      </w:r>
      <w:r>
        <w:rPr>
          <w:rFonts w:hint="eastAsia" w:ascii="仿宋_GB2312" w:eastAsia="仿宋_GB2312"/>
          <w:color w:val="auto"/>
          <w:sz w:val="32"/>
          <w:szCs w:val="32"/>
        </w:rPr>
        <w:t>万元，占</w:t>
      </w:r>
      <w:r>
        <w:rPr>
          <w:rFonts w:hint="eastAsia" w:ascii="仿宋_GB2312" w:eastAsia="仿宋_GB2312"/>
          <w:color w:val="auto"/>
          <w:sz w:val="32"/>
          <w:szCs w:val="32"/>
          <w:lang w:val="en-US" w:eastAsia="zh-CN"/>
        </w:rPr>
        <w:t>10.27</w:t>
      </w:r>
      <w:r>
        <w:rPr>
          <w:rFonts w:hint="eastAsia" w:ascii="仿宋_GB2312" w:eastAsia="仿宋_GB2312"/>
          <w:color w:val="auto"/>
          <w:sz w:val="32"/>
          <w:szCs w:val="32"/>
        </w:rPr>
        <w:t>%。</w:t>
      </w:r>
    </w:p>
    <w:p>
      <w:pPr>
        <w:snapToGrid w:val="0"/>
        <w:spacing w:line="540" w:lineRule="exact"/>
        <w:ind w:firstLine="645"/>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3.一般公共预算当年拨款具体使用情况。</w:t>
      </w:r>
    </w:p>
    <w:p>
      <w:pPr>
        <w:ind w:firstLine="640" w:firstLineChars="200"/>
        <w:rPr>
          <w:rFonts w:ascii="仿宋_GB2312" w:eastAsia="仿宋_GB2312"/>
          <w:color w:val="0000FF"/>
          <w:sz w:val="32"/>
          <w:szCs w:val="32"/>
        </w:rPr>
      </w:pPr>
      <w:r>
        <w:rPr>
          <w:rFonts w:hint="eastAsia" w:ascii="仿宋_GB2312" w:eastAsia="仿宋_GB2312"/>
          <w:color w:val="auto"/>
          <w:sz w:val="32"/>
          <w:szCs w:val="32"/>
        </w:rPr>
        <w:t>（1）公共安全支出（类）法院（款）事业运行（项）</w:t>
      </w:r>
      <w:r>
        <w:rPr>
          <w:rFonts w:hint="eastAsia" w:ascii="仿宋_GB2312" w:eastAsia="仿宋_GB2312"/>
          <w:color w:val="auto"/>
          <w:sz w:val="32"/>
          <w:szCs w:val="32"/>
          <w:lang w:val="en-US" w:eastAsia="zh-CN"/>
        </w:rPr>
        <w:t>415.06</w:t>
      </w:r>
      <w:r>
        <w:rPr>
          <w:rFonts w:hint="eastAsia" w:ascii="仿宋_GB2312" w:eastAsia="仿宋_GB2312"/>
          <w:color w:val="auto"/>
          <w:sz w:val="32"/>
          <w:szCs w:val="32"/>
        </w:rPr>
        <w:t>万元，主要用于</w:t>
      </w:r>
      <w:r>
        <w:rPr>
          <w:rFonts w:hint="eastAsia" w:ascii="仿宋_GB2312" w:eastAsia="仿宋_GB2312"/>
          <w:bCs/>
          <w:sz w:val="32"/>
          <w:szCs w:val="32"/>
        </w:rPr>
        <w:t>莲都</w:t>
      </w:r>
      <w:r>
        <w:rPr>
          <w:rFonts w:hint="eastAsia" w:ascii="仿宋_GB2312" w:eastAsia="仿宋_GB2312"/>
          <w:bCs/>
          <w:sz w:val="32"/>
          <w:szCs w:val="32"/>
          <w:lang w:eastAsia="zh-CN"/>
        </w:rPr>
        <w:t>区</w:t>
      </w:r>
      <w:r>
        <w:rPr>
          <w:rFonts w:hint="eastAsia" w:ascii="仿宋_GB2312" w:eastAsia="仿宋_GB2312"/>
          <w:bCs/>
          <w:sz w:val="32"/>
          <w:szCs w:val="32"/>
        </w:rPr>
        <w:t>人民法院</w:t>
      </w:r>
      <w:r>
        <w:rPr>
          <w:rFonts w:hint="eastAsia" w:ascii="仿宋_GB2312" w:eastAsia="仿宋_GB2312"/>
          <w:bCs/>
          <w:sz w:val="32"/>
          <w:szCs w:val="32"/>
          <w:lang w:eastAsia="zh-CN"/>
        </w:rPr>
        <w:t>审判保障服务中心</w:t>
      </w:r>
      <w:r>
        <w:rPr>
          <w:rFonts w:hint="eastAsia" w:ascii="仿宋_GB2312" w:eastAsia="仿宋_GB2312"/>
          <w:color w:val="auto"/>
          <w:sz w:val="32"/>
          <w:szCs w:val="32"/>
        </w:rPr>
        <w:t>正常运行，完成日常工作任务所发生的人员支出及日常运行公用经费等基本支出。</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）社会保障和就业支出（类）行政</w:t>
      </w:r>
      <w:r>
        <w:rPr>
          <w:rFonts w:hint="eastAsia" w:ascii="仿宋_GB2312" w:eastAsia="仿宋_GB2312"/>
          <w:color w:val="auto"/>
          <w:sz w:val="32"/>
          <w:szCs w:val="32"/>
          <w:lang w:eastAsia="zh-CN"/>
        </w:rPr>
        <w:t>事业</w:t>
      </w:r>
      <w:r>
        <w:rPr>
          <w:rFonts w:hint="eastAsia" w:ascii="仿宋_GB2312" w:eastAsia="仿宋_GB2312"/>
          <w:color w:val="auto"/>
          <w:sz w:val="32"/>
          <w:szCs w:val="32"/>
        </w:rPr>
        <w:t>单位</w:t>
      </w:r>
      <w:r>
        <w:rPr>
          <w:rFonts w:hint="eastAsia" w:ascii="仿宋_GB2312" w:eastAsia="仿宋_GB2312"/>
          <w:color w:val="auto"/>
          <w:sz w:val="32"/>
          <w:szCs w:val="32"/>
          <w:lang w:eastAsia="zh-CN"/>
        </w:rPr>
        <w:t>养老支出</w:t>
      </w:r>
      <w:r>
        <w:rPr>
          <w:rFonts w:hint="eastAsia" w:ascii="仿宋_GB2312" w:eastAsia="仿宋_GB2312"/>
          <w:color w:val="auto"/>
          <w:sz w:val="32"/>
          <w:szCs w:val="32"/>
        </w:rPr>
        <w:t>（款）机关事业单位基本养老保险缴费支出（项）</w:t>
      </w:r>
      <w:r>
        <w:rPr>
          <w:rFonts w:hint="eastAsia" w:ascii="仿宋_GB2312" w:eastAsia="仿宋_GB2312"/>
          <w:color w:val="auto"/>
          <w:sz w:val="32"/>
          <w:szCs w:val="32"/>
          <w:lang w:val="en-US" w:eastAsia="zh-CN"/>
        </w:rPr>
        <w:t>25.03</w:t>
      </w:r>
      <w:r>
        <w:rPr>
          <w:rFonts w:hint="eastAsia" w:ascii="仿宋_GB2312" w:eastAsia="仿宋_GB2312"/>
          <w:color w:val="auto"/>
          <w:sz w:val="32"/>
          <w:szCs w:val="32"/>
        </w:rPr>
        <w:t>万元</w:t>
      </w:r>
      <w:r>
        <w:rPr>
          <w:rFonts w:ascii="仿宋_GB2312" w:eastAsia="仿宋_GB2312"/>
          <w:color w:val="auto"/>
          <w:sz w:val="32"/>
          <w:szCs w:val="32"/>
        </w:rPr>
        <w:t>,</w:t>
      </w:r>
      <w:r>
        <w:rPr>
          <w:rFonts w:hint="eastAsia" w:ascii="仿宋_GB2312" w:eastAsia="仿宋_GB2312"/>
          <w:color w:val="auto"/>
          <w:sz w:val="32"/>
          <w:szCs w:val="32"/>
        </w:rPr>
        <w:t>主要用于</w:t>
      </w:r>
      <w:r>
        <w:rPr>
          <w:rFonts w:hint="eastAsia" w:ascii="仿宋_GB2312" w:eastAsia="仿宋_GB2312"/>
          <w:bCs/>
          <w:sz w:val="32"/>
          <w:szCs w:val="32"/>
        </w:rPr>
        <w:t>莲都</w:t>
      </w:r>
      <w:r>
        <w:rPr>
          <w:rFonts w:hint="eastAsia" w:ascii="仿宋_GB2312" w:eastAsia="仿宋_GB2312"/>
          <w:bCs/>
          <w:sz w:val="32"/>
          <w:szCs w:val="32"/>
          <w:lang w:eastAsia="zh-CN"/>
        </w:rPr>
        <w:t>区</w:t>
      </w:r>
      <w:r>
        <w:rPr>
          <w:rFonts w:hint="eastAsia" w:ascii="仿宋_GB2312" w:eastAsia="仿宋_GB2312"/>
          <w:bCs/>
          <w:sz w:val="32"/>
          <w:szCs w:val="32"/>
        </w:rPr>
        <w:t>人民法院</w:t>
      </w:r>
      <w:r>
        <w:rPr>
          <w:rFonts w:hint="eastAsia" w:ascii="仿宋_GB2312" w:eastAsia="仿宋_GB2312"/>
          <w:bCs/>
          <w:sz w:val="32"/>
          <w:szCs w:val="32"/>
          <w:lang w:eastAsia="zh-CN"/>
        </w:rPr>
        <w:t>审判保障服务中心</w:t>
      </w:r>
      <w:r>
        <w:rPr>
          <w:rFonts w:hint="eastAsia" w:ascii="仿宋_GB2312" w:eastAsia="仿宋_GB2312"/>
          <w:color w:val="auto"/>
          <w:sz w:val="32"/>
          <w:szCs w:val="32"/>
        </w:rPr>
        <w:t>缴纳的基本养老保险费支出；</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）社会保障和就业支出（类）行政</w:t>
      </w:r>
      <w:r>
        <w:rPr>
          <w:rFonts w:hint="eastAsia" w:ascii="仿宋_GB2312" w:eastAsia="仿宋_GB2312"/>
          <w:color w:val="auto"/>
          <w:sz w:val="32"/>
          <w:szCs w:val="32"/>
          <w:lang w:eastAsia="zh-CN"/>
        </w:rPr>
        <w:t>事业</w:t>
      </w:r>
      <w:r>
        <w:rPr>
          <w:rFonts w:hint="eastAsia" w:ascii="仿宋_GB2312" w:eastAsia="仿宋_GB2312"/>
          <w:color w:val="auto"/>
          <w:sz w:val="32"/>
          <w:szCs w:val="32"/>
        </w:rPr>
        <w:t>单位</w:t>
      </w:r>
      <w:r>
        <w:rPr>
          <w:rFonts w:hint="eastAsia" w:ascii="仿宋_GB2312" w:eastAsia="仿宋_GB2312"/>
          <w:color w:val="auto"/>
          <w:sz w:val="32"/>
          <w:szCs w:val="32"/>
          <w:lang w:eastAsia="zh-CN"/>
        </w:rPr>
        <w:t>养老支出</w:t>
      </w:r>
      <w:r>
        <w:rPr>
          <w:rFonts w:hint="eastAsia" w:ascii="仿宋_GB2312" w:eastAsia="仿宋_GB2312"/>
          <w:color w:val="auto"/>
          <w:sz w:val="32"/>
          <w:szCs w:val="32"/>
        </w:rPr>
        <w:t>（款）机关事业单位职业年金缴费支出（项）</w:t>
      </w:r>
      <w:r>
        <w:rPr>
          <w:rFonts w:hint="eastAsia" w:ascii="仿宋_GB2312" w:eastAsia="仿宋_GB2312"/>
          <w:color w:val="auto"/>
          <w:sz w:val="32"/>
          <w:szCs w:val="32"/>
          <w:lang w:val="en-US" w:eastAsia="zh-CN"/>
        </w:rPr>
        <w:t>12.52</w:t>
      </w:r>
      <w:r>
        <w:rPr>
          <w:rFonts w:hint="eastAsia" w:ascii="仿宋_GB2312" w:eastAsia="仿宋_GB2312"/>
          <w:color w:val="auto"/>
          <w:sz w:val="32"/>
          <w:szCs w:val="32"/>
        </w:rPr>
        <w:t>万元</w:t>
      </w:r>
      <w:r>
        <w:rPr>
          <w:rFonts w:ascii="仿宋_GB2312" w:eastAsia="仿宋_GB2312"/>
          <w:color w:val="auto"/>
          <w:sz w:val="32"/>
          <w:szCs w:val="32"/>
        </w:rPr>
        <w:t>,</w:t>
      </w:r>
      <w:r>
        <w:rPr>
          <w:rFonts w:hint="eastAsia" w:ascii="仿宋_GB2312" w:eastAsia="仿宋_GB2312"/>
          <w:color w:val="auto"/>
          <w:sz w:val="32"/>
          <w:szCs w:val="32"/>
        </w:rPr>
        <w:t>主要用于</w:t>
      </w:r>
      <w:r>
        <w:rPr>
          <w:rFonts w:hint="eastAsia" w:ascii="仿宋_GB2312" w:eastAsia="仿宋_GB2312"/>
          <w:bCs/>
          <w:sz w:val="32"/>
          <w:szCs w:val="32"/>
        </w:rPr>
        <w:t>莲都</w:t>
      </w:r>
      <w:r>
        <w:rPr>
          <w:rFonts w:hint="eastAsia" w:ascii="仿宋_GB2312" w:eastAsia="仿宋_GB2312"/>
          <w:bCs/>
          <w:sz w:val="32"/>
          <w:szCs w:val="32"/>
          <w:lang w:eastAsia="zh-CN"/>
        </w:rPr>
        <w:t>区</w:t>
      </w:r>
      <w:r>
        <w:rPr>
          <w:rFonts w:hint="eastAsia" w:ascii="仿宋_GB2312" w:eastAsia="仿宋_GB2312"/>
          <w:bCs/>
          <w:sz w:val="32"/>
          <w:szCs w:val="32"/>
        </w:rPr>
        <w:t>人民法院</w:t>
      </w:r>
      <w:r>
        <w:rPr>
          <w:rFonts w:hint="eastAsia" w:ascii="仿宋_GB2312" w:eastAsia="仿宋_GB2312"/>
          <w:bCs/>
          <w:sz w:val="32"/>
          <w:szCs w:val="32"/>
          <w:lang w:eastAsia="zh-CN"/>
        </w:rPr>
        <w:t>审判保障服务中心</w:t>
      </w:r>
      <w:r>
        <w:rPr>
          <w:rFonts w:hint="eastAsia" w:ascii="仿宋_GB2312" w:eastAsia="仿宋_GB2312"/>
          <w:color w:val="auto"/>
          <w:sz w:val="32"/>
          <w:szCs w:val="32"/>
        </w:rPr>
        <w:t>实际缴纳职业年金支出；</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）社会保障和就业支出（类）行政</w:t>
      </w:r>
      <w:r>
        <w:rPr>
          <w:rFonts w:hint="eastAsia" w:ascii="仿宋_GB2312" w:eastAsia="仿宋_GB2312"/>
          <w:color w:val="auto"/>
          <w:sz w:val="32"/>
          <w:szCs w:val="32"/>
          <w:lang w:eastAsia="zh-CN"/>
        </w:rPr>
        <w:t>事业</w:t>
      </w:r>
      <w:r>
        <w:rPr>
          <w:rFonts w:hint="eastAsia" w:ascii="仿宋_GB2312" w:eastAsia="仿宋_GB2312"/>
          <w:color w:val="auto"/>
          <w:sz w:val="32"/>
          <w:szCs w:val="32"/>
        </w:rPr>
        <w:t>单位</w:t>
      </w:r>
      <w:r>
        <w:rPr>
          <w:rFonts w:hint="eastAsia" w:ascii="仿宋_GB2312" w:eastAsia="仿宋_GB2312"/>
          <w:color w:val="auto"/>
          <w:sz w:val="32"/>
          <w:szCs w:val="32"/>
          <w:lang w:eastAsia="zh-CN"/>
        </w:rPr>
        <w:t>养老支出</w:t>
      </w:r>
      <w:r>
        <w:rPr>
          <w:rFonts w:hint="eastAsia" w:ascii="仿宋_GB2312" w:eastAsia="仿宋_GB2312"/>
          <w:color w:val="auto"/>
          <w:sz w:val="32"/>
          <w:szCs w:val="32"/>
        </w:rPr>
        <w:t>（款）其他行政事业单位</w:t>
      </w:r>
      <w:r>
        <w:rPr>
          <w:rFonts w:hint="eastAsia" w:ascii="仿宋_GB2312" w:eastAsia="仿宋_GB2312"/>
          <w:color w:val="auto"/>
          <w:sz w:val="32"/>
          <w:szCs w:val="32"/>
          <w:lang w:eastAsia="zh-CN"/>
        </w:rPr>
        <w:t>养老</w:t>
      </w:r>
      <w:r>
        <w:rPr>
          <w:rFonts w:hint="eastAsia" w:ascii="仿宋_GB2312" w:eastAsia="仿宋_GB2312"/>
          <w:color w:val="auto"/>
          <w:sz w:val="32"/>
          <w:szCs w:val="32"/>
        </w:rPr>
        <w:t>支出（项）</w:t>
      </w:r>
      <w:r>
        <w:rPr>
          <w:rFonts w:hint="eastAsia" w:ascii="仿宋_GB2312" w:eastAsia="仿宋_GB2312"/>
          <w:color w:val="auto"/>
          <w:sz w:val="32"/>
          <w:szCs w:val="32"/>
          <w:lang w:val="en-US" w:eastAsia="zh-CN"/>
        </w:rPr>
        <w:t>1.92</w:t>
      </w:r>
      <w:r>
        <w:rPr>
          <w:rFonts w:hint="eastAsia" w:ascii="仿宋_GB2312" w:eastAsia="仿宋_GB2312"/>
          <w:color w:val="auto"/>
          <w:sz w:val="32"/>
          <w:szCs w:val="32"/>
        </w:rPr>
        <w:t>万元，主要用于</w:t>
      </w:r>
      <w:r>
        <w:rPr>
          <w:rFonts w:hint="eastAsia" w:ascii="仿宋_GB2312" w:eastAsia="仿宋_GB2312"/>
          <w:bCs/>
          <w:sz w:val="32"/>
          <w:szCs w:val="32"/>
        </w:rPr>
        <w:t>莲都</w:t>
      </w:r>
      <w:r>
        <w:rPr>
          <w:rFonts w:hint="eastAsia" w:ascii="仿宋_GB2312" w:eastAsia="仿宋_GB2312"/>
          <w:bCs/>
          <w:sz w:val="32"/>
          <w:szCs w:val="32"/>
          <w:lang w:eastAsia="zh-CN"/>
        </w:rPr>
        <w:t>区</w:t>
      </w:r>
      <w:r>
        <w:rPr>
          <w:rFonts w:hint="eastAsia" w:ascii="仿宋_GB2312" w:eastAsia="仿宋_GB2312"/>
          <w:bCs/>
          <w:sz w:val="32"/>
          <w:szCs w:val="32"/>
        </w:rPr>
        <w:t>人民法院</w:t>
      </w:r>
      <w:r>
        <w:rPr>
          <w:rFonts w:hint="eastAsia" w:ascii="仿宋_GB2312" w:eastAsia="仿宋_GB2312"/>
          <w:bCs/>
          <w:sz w:val="32"/>
          <w:szCs w:val="32"/>
          <w:lang w:eastAsia="zh-CN"/>
        </w:rPr>
        <w:t>审判保障服务中心</w:t>
      </w:r>
      <w:r>
        <w:rPr>
          <w:rFonts w:hint="eastAsia" w:ascii="仿宋_GB2312" w:eastAsia="仿宋_GB2312"/>
          <w:color w:val="auto"/>
          <w:sz w:val="32"/>
          <w:szCs w:val="32"/>
        </w:rPr>
        <w:t>退休人员综合生活补助及活动费支出。</w:t>
      </w:r>
    </w:p>
    <w:p>
      <w:pPr>
        <w:ind w:firstLine="640" w:firstLineChars="200"/>
        <w:rPr>
          <w:rFonts w:ascii="仿宋_GB2312" w:eastAsia="仿宋_GB2312"/>
          <w:color w:val="0000FF"/>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）卫生健康支出（类）行政事业单位医疗（款）事业单位医疗（项）</w:t>
      </w:r>
      <w:r>
        <w:rPr>
          <w:rFonts w:hint="eastAsia" w:ascii="仿宋_GB2312" w:eastAsia="仿宋_GB2312"/>
          <w:color w:val="auto"/>
          <w:sz w:val="32"/>
          <w:szCs w:val="32"/>
          <w:lang w:val="en-US" w:eastAsia="zh-CN"/>
        </w:rPr>
        <w:t>25.28</w:t>
      </w:r>
      <w:r>
        <w:rPr>
          <w:rFonts w:hint="eastAsia" w:ascii="仿宋_GB2312" w:eastAsia="仿宋_GB2312"/>
          <w:color w:val="auto"/>
          <w:sz w:val="32"/>
          <w:szCs w:val="32"/>
        </w:rPr>
        <w:t>万元。主要用于</w:t>
      </w:r>
      <w:r>
        <w:rPr>
          <w:rFonts w:hint="eastAsia" w:ascii="仿宋_GB2312" w:eastAsia="仿宋_GB2312"/>
          <w:bCs/>
          <w:sz w:val="32"/>
          <w:szCs w:val="32"/>
        </w:rPr>
        <w:t>莲都</w:t>
      </w:r>
      <w:r>
        <w:rPr>
          <w:rFonts w:hint="eastAsia" w:ascii="仿宋_GB2312" w:eastAsia="仿宋_GB2312"/>
          <w:bCs/>
          <w:sz w:val="32"/>
          <w:szCs w:val="32"/>
          <w:lang w:eastAsia="zh-CN"/>
        </w:rPr>
        <w:t>区</w:t>
      </w:r>
      <w:r>
        <w:rPr>
          <w:rFonts w:hint="eastAsia" w:ascii="仿宋_GB2312" w:eastAsia="仿宋_GB2312"/>
          <w:bCs/>
          <w:sz w:val="32"/>
          <w:szCs w:val="32"/>
        </w:rPr>
        <w:t>人民法院</w:t>
      </w:r>
      <w:r>
        <w:rPr>
          <w:rFonts w:hint="eastAsia" w:ascii="仿宋_GB2312" w:eastAsia="仿宋_GB2312"/>
          <w:bCs/>
          <w:sz w:val="32"/>
          <w:szCs w:val="32"/>
          <w:lang w:eastAsia="zh-CN"/>
        </w:rPr>
        <w:t>审判保障服务中心</w:t>
      </w:r>
      <w:r>
        <w:rPr>
          <w:rFonts w:hint="eastAsia" w:ascii="仿宋_GB2312" w:eastAsia="仿宋_GB2312"/>
          <w:color w:val="auto"/>
          <w:sz w:val="32"/>
          <w:szCs w:val="32"/>
        </w:rPr>
        <w:t>在职人员的医疗保险费支出。</w:t>
      </w:r>
    </w:p>
    <w:p>
      <w:pPr>
        <w:ind w:firstLine="640" w:firstLineChars="200"/>
        <w:rPr>
          <w:rFonts w:ascii="仿宋_GB2312" w:eastAsia="仿宋_GB2312"/>
          <w:color w:val="0000FF"/>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）住房保障支出（类）住房改革支出（款）住房公积金（项）</w:t>
      </w:r>
      <w:r>
        <w:rPr>
          <w:rFonts w:hint="eastAsia" w:ascii="仿宋_GB2312" w:eastAsia="仿宋_GB2312"/>
          <w:color w:val="auto"/>
          <w:sz w:val="32"/>
          <w:szCs w:val="32"/>
          <w:lang w:val="en-US" w:eastAsia="zh-CN"/>
        </w:rPr>
        <w:t>54.89</w:t>
      </w:r>
      <w:r>
        <w:rPr>
          <w:rFonts w:hint="eastAsia" w:ascii="仿宋_GB2312" w:eastAsia="仿宋_GB2312"/>
          <w:color w:val="auto"/>
          <w:sz w:val="32"/>
          <w:szCs w:val="32"/>
        </w:rPr>
        <w:t>万元。主要用于</w:t>
      </w:r>
      <w:r>
        <w:rPr>
          <w:rFonts w:hint="eastAsia" w:ascii="仿宋_GB2312" w:eastAsia="仿宋_GB2312"/>
          <w:bCs/>
          <w:sz w:val="32"/>
          <w:szCs w:val="32"/>
        </w:rPr>
        <w:t>莲都</w:t>
      </w:r>
      <w:r>
        <w:rPr>
          <w:rFonts w:hint="eastAsia" w:ascii="仿宋_GB2312" w:eastAsia="仿宋_GB2312"/>
          <w:bCs/>
          <w:sz w:val="32"/>
          <w:szCs w:val="32"/>
          <w:lang w:eastAsia="zh-CN"/>
        </w:rPr>
        <w:t>区</w:t>
      </w:r>
      <w:r>
        <w:rPr>
          <w:rFonts w:hint="eastAsia" w:ascii="仿宋_GB2312" w:eastAsia="仿宋_GB2312"/>
          <w:bCs/>
          <w:sz w:val="32"/>
          <w:szCs w:val="32"/>
        </w:rPr>
        <w:t>人民法院</w:t>
      </w:r>
      <w:r>
        <w:rPr>
          <w:rFonts w:hint="eastAsia" w:ascii="仿宋_GB2312" w:eastAsia="仿宋_GB2312"/>
          <w:bCs/>
          <w:sz w:val="32"/>
          <w:szCs w:val="32"/>
          <w:lang w:eastAsia="zh-CN"/>
        </w:rPr>
        <w:t>审判保障服务中心</w:t>
      </w:r>
      <w:r>
        <w:rPr>
          <w:rFonts w:hint="eastAsia" w:ascii="仿宋_GB2312" w:eastAsia="仿宋_GB2312"/>
          <w:color w:val="auto"/>
          <w:sz w:val="32"/>
          <w:szCs w:val="32"/>
        </w:rPr>
        <w:t>为职工缴纳的住房公积金支出。</w:t>
      </w:r>
    </w:p>
    <w:p>
      <w:pPr>
        <w:snapToGrid w:val="0"/>
        <w:spacing w:line="54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（六）关于莲都</w:t>
      </w:r>
      <w:r>
        <w:rPr>
          <w:rFonts w:hint="eastAsia" w:ascii="楷体_GB2312" w:hAnsi="楷体_GB2312" w:eastAsia="楷体_GB2312" w:cs="楷体_GB2312"/>
          <w:bCs/>
          <w:color w:val="000000"/>
          <w:sz w:val="32"/>
          <w:szCs w:val="32"/>
          <w:lang w:eastAsia="zh-CN"/>
        </w:rPr>
        <w:t>区</w:t>
      </w:r>
      <w:r>
        <w:rPr>
          <w:rFonts w:hint="eastAsia" w:ascii="楷体_GB2312" w:hAnsi="楷体_GB2312" w:eastAsia="楷体_GB2312" w:cs="楷体_GB2312"/>
          <w:bCs/>
          <w:color w:val="000000"/>
          <w:sz w:val="32"/>
          <w:szCs w:val="32"/>
        </w:rPr>
        <w:t>人民法院</w:t>
      </w:r>
      <w:r>
        <w:rPr>
          <w:rFonts w:hint="eastAsia" w:ascii="楷体_GB2312" w:hAnsi="楷体_GB2312" w:eastAsia="楷体_GB2312" w:cs="楷体_GB2312"/>
          <w:b w:val="0"/>
          <w:bCs/>
          <w:sz w:val="32"/>
          <w:szCs w:val="32"/>
          <w:highlight w:val="none"/>
          <w:lang w:eastAsia="zh-CN"/>
        </w:rPr>
        <w:t>审判保障服务中心</w:t>
      </w:r>
      <w:r>
        <w:rPr>
          <w:rFonts w:hint="eastAsia" w:ascii="楷体_GB2312" w:hAnsi="楷体_GB2312" w:eastAsia="楷体_GB2312" w:cs="楷体_GB2312"/>
          <w:bCs/>
          <w:color w:val="000000"/>
          <w:sz w:val="32"/>
          <w:szCs w:val="32"/>
        </w:rPr>
        <w:t>20</w:t>
      </w:r>
      <w:r>
        <w:rPr>
          <w:rFonts w:hint="eastAsia" w:ascii="楷体_GB2312" w:hAnsi="楷体_GB2312" w:eastAsia="楷体_GB2312" w:cs="楷体_GB2312"/>
          <w:bCs/>
          <w:color w:val="000000"/>
          <w:sz w:val="32"/>
          <w:szCs w:val="32"/>
          <w:lang w:val="en-US" w:eastAsia="zh-CN"/>
        </w:rPr>
        <w:t>22</w:t>
      </w:r>
      <w:r>
        <w:rPr>
          <w:rFonts w:hint="eastAsia" w:ascii="楷体_GB2312" w:hAnsi="楷体_GB2312" w:eastAsia="楷体_GB2312" w:cs="楷体_GB2312"/>
          <w:bCs/>
          <w:color w:val="000000"/>
          <w:sz w:val="32"/>
          <w:szCs w:val="32"/>
        </w:rPr>
        <w:t>年一般公共预算基本支出情况说明</w:t>
      </w:r>
    </w:p>
    <w:p>
      <w:pPr>
        <w:snapToGrid w:val="0"/>
        <w:spacing w:line="540" w:lineRule="exact"/>
        <w:ind w:firstLine="642"/>
        <w:rPr>
          <w:rFonts w:ascii="仿宋_GB2312" w:eastAsia="仿宋_GB2312"/>
          <w:color w:val="auto"/>
          <w:sz w:val="32"/>
          <w:szCs w:val="32"/>
        </w:rPr>
      </w:pPr>
      <w:r>
        <w:rPr>
          <w:rFonts w:hint="eastAsia" w:ascii="仿宋_GB2312" w:eastAsia="仿宋_GB2312"/>
          <w:bCs/>
          <w:sz w:val="32"/>
          <w:szCs w:val="32"/>
        </w:rPr>
        <w:t>莲都</w:t>
      </w:r>
      <w:r>
        <w:rPr>
          <w:rFonts w:hint="eastAsia" w:ascii="仿宋_GB2312" w:eastAsia="仿宋_GB2312"/>
          <w:bCs/>
          <w:sz w:val="32"/>
          <w:szCs w:val="32"/>
          <w:lang w:eastAsia="zh-CN"/>
        </w:rPr>
        <w:t>区</w:t>
      </w:r>
      <w:r>
        <w:rPr>
          <w:rFonts w:hint="eastAsia" w:ascii="仿宋_GB2312" w:eastAsia="仿宋_GB2312"/>
          <w:bCs/>
          <w:sz w:val="32"/>
          <w:szCs w:val="32"/>
        </w:rPr>
        <w:t>人民法院</w:t>
      </w:r>
      <w:r>
        <w:rPr>
          <w:rFonts w:hint="eastAsia" w:ascii="仿宋_GB2312" w:eastAsia="仿宋_GB2312"/>
          <w:bCs/>
          <w:sz w:val="32"/>
          <w:szCs w:val="32"/>
          <w:lang w:eastAsia="zh-CN"/>
        </w:rPr>
        <w:t>审判保障服务中心</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年一般公共预算基本支出</w:t>
      </w:r>
      <w:r>
        <w:rPr>
          <w:rFonts w:hint="eastAsia" w:ascii="仿宋_GB2312" w:eastAsia="仿宋_GB2312"/>
          <w:color w:val="auto"/>
          <w:sz w:val="32"/>
          <w:szCs w:val="32"/>
          <w:lang w:val="en-US" w:eastAsia="zh-CN"/>
        </w:rPr>
        <w:t>534.71</w:t>
      </w:r>
      <w:r>
        <w:rPr>
          <w:rFonts w:hint="eastAsia" w:ascii="仿宋_GB2312" w:eastAsia="仿宋_GB2312"/>
          <w:color w:val="auto"/>
          <w:sz w:val="32"/>
          <w:szCs w:val="32"/>
        </w:rPr>
        <w:t>万元，其中：</w:t>
      </w:r>
    </w:p>
    <w:p>
      <w:pPr>
        <w:snapToGrid w:val="0"/>
        <w:spacing w:line="540" w:lineRule="exact"/>
        <w:ind w:firstLine="642"/>
        <w:rPr>
          <w:rFonts w:ascii="仿宋_GB2312" w:eastAsia="仿宋_GB2312"/>
          <w:color w:val="auto"/>
          <w:sz w:val="32"/>
          <w:szCs w:val="32"/>
        </w:rPr>
      </w:pPr>
      <w:r>
        <w:rPr>
          <w:rFonts w:hint="eastAsia" w:ascii="仿宋_GB2312" w:eastAsia="仿宋_GB2312"/>
          <w:color w:val="auto"/>
          <w:sz w:val="32"/>
          <w:szCs w:val="32"/>
        </w:rPr>
        <w:t>人员经费</w:t>
      </w:r>
      <w:r>
        <w:rPr>
          <w:rFonts w:hint="eastAsia" w:ascii="仿宋_GB2312" w:eastAsia="仿宋_GB2312"/>
          <w:color w:val="auto"/>
          <w:sz w:val="32"/>
          <w:szCs w:val="32"/>
          <w:lang w:val="en-US" w:eastAsia="zh-CN"/>
        </w:rPr>
        <w:t>499.06</w:t>
      </w:r>
      <w:r>
        <w:rPr>
          <w:rFonts w:hint="eastAsia" w:ascii="仿宋_GB2312" w:eastAsia="仿宋_GB2312"/>
          <w:color w:val="auto"/>
          <w:sz w:val="32"/>
          <w:szCs w:val="32"/>
        </w:rPr>
        <w:t>万元，主要包括：基本工资、津贴补贴、奖金、绩效工资、机关事业单位基本养老保险缴费、职业年金缴费、职工基本医疗保险缴费、其他社会保障缴费、住房公积金、医疗费、其他工资福利支出</w:t>
      </w:r>
      <w:r>
        <w:rPr>
          <w:rFonts w:hint="eastAsia" w:ascii="仿宋_GB2312" w:eastAsia="仿宋_GB2312"/>
          <w:color w:val="auto"/>
          <w:sz w:val="32"/>
          <w:szCs w:val="32"/>
          <w:lang w:eastAsia="zh-CN"/>
        </w:rPr>
        <w:t>、其他对个人和家庭的补助</w:t>
      </w:r>
      <w:r>
        <w:rPr>
          <w:rFonts w:hint="eastAsia" w:ascii="仿宋_GB2312" w:eastAsia="仿宋_GB2312"/>
          <w:b/>
          <w:bCs/>
          <w:color w:val="auto"/>
          <w:sz w:val="32"/>
          <w:szCs w:val="32"/>
        </w:rPr>
        <w:t>。</w:t>
      </w:r>
    </w:p>
    <w:p>
      <w:pPr>
        <w:snapToGrid w:val="0"/>
        <w:spacing w:line="540" w:lineRule="exact"/>
        <w:ind w:firstLine="642"/>
        <w:rPr>
          <w:rFonts w:ascii="仿宋_GB2312" w:eastAsia="仿宋_GB2312"/>
          <w:color w:val="auto"/>
          <w:sz w:val="32"/>
          <w:szCs w:val="32"/>
        </w:rPr>
      </w:pPr>
      <w:r>
        <w:rPr>
          <w:rFonts w:hint="eastAsia" w:ascii="仿宋_GB2312" w:eastAsia="仿宋_GB2312"/>
          <w:color w:val="auto"/>
          <w:sz w:val="32"/>
          <w:szCs w:val="32"/>
        </w:rPr>
        <w:t>公用经费</w:t>
      </w:r>
      <w:r>
        <w:rPr>
          <w:rFonts w:hint="eastAsia" w:ascii="仿宋_GB2312" w:eastAsia="仿宋_GB2312"/>
          <w:color w:val="auto"/>
          <w:sz w:val="32"/>
          <w:szCs w:val="32"/>
          <w:lang w:val="en-US" w:eastAsia="zh-CN"/>
        </w:rPr>
        <w:t>35.65</w:t>
      </w:r>
      <w:r>
        <w:rPr>
          <w:rFonts w:hint="eastAsia" w:ascii="仿宋_GB2312" w:eastAsia="仿宋_GB2312"/>
          <w:color w:val="auto"/>
          <w:sz w:val="32"/>
          <w:szCs w:val="32"/>
        </w:rPr>
        <w:t>万元，主要包括：办公费、印刷费、水费、电费、邮电费、差旅费、培训费、工会经费、福利费、公务用车运行维护费、其他商品和服务支出。</w:t>
      </w:r>
    </w:p>
    <w:p>
      <w:pPr>
        <w:snapToGrid w:val="0"/>
        <w:spacing w:line="54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（七）关于莲都</w:t>
      </w:r>
      <w:r>
        <w:rPr>
          <w:rFonts w:hint="eastAsia" w:ascii="楷体_GB2312" w:hAnsi="楷体_GB2312" w:eastAsia="楷体_GB2312" w:cs="楷体_GB2312"/>
          <w:bCs/>
          <w:color w:val="000000"/>
          <w:sz w:val="32"/>
          <w:szCs w:val="32"/>
          <w:lang w:eastAsia="zh-CN"/>
        </w:rPr>
        <w:t>区</w:t>
      </w:r>
      <w:r>
        <w:rPr>
          <w:rFonts w:hint="eastAsia" w:ascii="楷体_GB2312" w:hAnsi="楷体_GB2312" w:eastAsia="楷体_GB2312" w:cs="楷体_GB2312"/>
          <w:bCs/>
          <w:color w:val="000000"/>
          <w:sz w:val="32"/>
          <w:szCs w:val="32"/>
        </w:rPr>
        <w:t>人民法院</w:t>
      </w:r>
      <w:r>
        <w:rPr>
          <w:rFonts w:hint="eastAsia" w:ascii="楷体_GB2312" w:hAnsi="楷体_GB2312" w:eastAsia="楷体_GB2312" w:cs="楷体_GB2312"/>
          <w:b w:val="0"/>
          <w:bCs/>
          <w:sz w:val="32"/>
          <w:szCs w:val="32"/>
          <w:highlight w:val="none"/>
          <w:lang w:eastAsia="zh-CN"/>
        </w:rPr>
        <w:t>审判保障服务中心</w:t>
      </w:r>
      <w:r>
        <w:rPr>
          <w:rFonts w:hint="eastAsia" w:ascii="楷体_GB2312" w:hAnsi="楷体_GB2312" w:eastAsia="楷体_GB2312" w:cs="楷体_GB2312"/>
          <w:bCs/>
          <w:color w:val="000000"/>
          <w:sz w:val="32"/>
          <w:szCs w:val="32"/>
        </w:rPr>
        <w:t>202</w:t>
      </w:r>
      <w:r>
        <w:rPr>
          <w:rFonts w:hint="eastAsia" w:ascii="楷体_GB2312" w:hAnsi="楷体_GB2312" w:eastAsia="楷体_GB2312" w:cs="楷体_GB2312"/>
          <w:bCs/>
          <w:color w:val="000000"/>
          <w:sz w:val="32"/>
          <w:szCs w:val="32"/>
          <w:lang w:val="en-US" w:eastAsia="zh-CN"/>
        </w:rPr>
        <w:t>2</w:t>
      </w:r>
      <w:r>
        <w:rPr>
          <w:rFonts w:hint="eastAsia" w:ascii="楷体_GB2312" w:hAnsi="楷体_GB2312" w:eastAsia="楷体_GB2312" w:cs="楷体_GB2312"/>
          <w:bCs/>
          <w:color w:val="000000"/>
          <w:sz w:val="32"/>
          <w:szCs w:val="32"/>
        </w:rPr>
        <w:t>年政府性基金预算支出情况说明</w:t>
      </w:r>
    </w:p>
    <w:p>
      <w:pPr>
        <w:snapToGrid w:val="0"/>
        <w:spacing w:line="540" w:lineRule="exact"/>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bCs/>
          <w:sz w:val="32"/>
          <w:szCs w:val="32"/>
        </w:rPr>
        <w:t>莲都</w:t>
      </w:r>
      <w:r>
        <w:rPr>
          <w:rFonts w:hint="eastAsia" w:ascii="仿宋_GB2312" w:eastAsia="仿宋_GB2312"/>
          <w:bCs/>
          <w:sz w:val="32"/>
          <w:szCs w:val="32"/>
          <w:lang w:eastAsia="zh-CN"/>
        </w:rPr>
        <w:t>区</w:t>
      </w:r>
      <w:r>
        <w:rPr>
          <w:rFonts w:hint="eastAsia" w:ascii="仿宋_GB2312" w:eastAsia="仿宋_GB2312"/>
          <w:bCs/>
          <w:sz w:val="32"/>
          <w:szCs w:val="32"/>
        </w:rPr>
        <w:t>人民法院</w:t>
      </w:r>
      <w:r>
        <w:rPr>
          <w:rFonts w:hint="eastAsia" w:ascii="仿宋_GB2312" w:eastAsia="仿宋_GB2312"/>
          <w:bCs/>
          <w:sz w:val="32"/>
          <w:szCs w:val="32"/>
          <w:lang w:eastAsia="zh-CN"/>
        </w:rPr>
        <w:t>审判保障服务中心</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年没有使用政府性基金预算拨款安排的支出。</w:t>
      </w:r>
    </w:p>
    <w:p>
      <w:pPr>
        <w:numPr>
          <w:ilvl w:val="0"/>
          <w:numId w:val="4"/>
        </w:numPr>
        <w:autoSpaceDE w:val="0"/>
        <w:autoSpaceDN w:val="0"/>
        <w:adjustRightInd w:val="0"/>
        <w:ind w:firstLine="640" w:firstLine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关于莲都区人民法院审判保障服务中心</w:t>
      </w:r>
      <w:r>
        <w:rPr>
          <w:rFonts w:hint="eastAsia" w:ascii="楷体_GB2312" w:hAnsi="楷体_GB2312" w:eastAsia="楷体_GB2312" w:cs="楷体_GB2312"/>
          <w:b w:val="0"/>
          <w:bCs/>
          <w:sz w:val="32"/>
          <w:szCs w:val="32"/>
          <w:highlight w:val="none"/>
          <w:lang w:val="en-US" w:eastAsia="zh-CN"/>
        </w:rPr>
        <w:t>2022</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pStyle w:val="2"/>
        <w:numPr>
          <w:ilvl w:val="0"/>
          <w:numId w:val="0"/>
        </w:numPr>
        <w:ind w:firstLine="640" w:firstLineChars="200"/>
        <w:rPr>
          <w:rFonts w:hint="eastAsia"/>
          <w:lang w:eastAsia="zh-CN"/>
        </w:rPr>
      </w:pPr>
      <w:r>
        <w:rPr>
          <w:rFonts w:hint="eastAsia" w:ascii="仿宋_GB2312" w:eastAsia="仿宋_GB2312"/>
          <w:bCs/>
          <w:sz w:val="32"/>
          <w:szCs w:val="32"/>
        </w:rPr>
        <w:t>莲都</w:t>
      </w:r>
      <w:r>
        <w:rPr>
          <w:rFonts w:hint="eastAsia" w:ascii="仿宋_GB2312" w:eastAsia="仿宋_GB2312"/>
          <w:bCs/>
          <w:sz w:val="32"/>
          <w:szCs w:val="32"/>
          <w:lang w:eastAsia="zh-CN"/>
        </w:rPr>
        <w:t>区</w:t>
      </w:r>
      <w:r>
        <w:rPr>
          <w:rFonts w:hint="eastAsia" w:ascii="仿宋_GB2312" w:eastAsia="仿宋_GB2312"/>
          <w:bCs/>
          <w:sz w:val="32"/>
          <w:szCs w:val="32"/>
        </w:rPr>
        <w:t>人民法院</w:t>
      </w:r>
      <w:r>
        <w:rPr>
          <w:rFonts w:hint="eastAsia" w:ascii="仿宋_GB2312" w:eastAsia="仿宋_GB2312"/>
          <w:bCs/>
          <w:sz w:val="32"/>
          <w:szCs w:val="32"/>
          <w:lang w:eastAsia="zh-CN"/>
        </w:rPr>
        <w:t>审判保障服务中心</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年没有</w:t>
      </w:r>
      <w:r>
        <w:rPr>
          <w:rFonts w:hint="eastAsia"/>
          <w:color w:val="000000"/>
          <w:sz w:val="32"/>
          <w:szCs w:val="32"/>
          <w:lang w:eastAsia="zh-CN"/>
        </w:rPr>
        <w:t>国有资本经营</w:t>
      </w:r>
      <w:r>
        <w:rPr>
          <w:rFonts w:hint="eastAsia" w:ascii="仿宋_GB2312" w:eastAsia="仿宋_GB2312"/>
          <w:color w:val="000000"/>
          <w:sz w:val="32"/>
          <w:szCs w:val="32"/>
        </w:rPr>
        <w:t>预算拨款安排的支出。</w:t>
      </w:r>
    </w:p>
    <w:p>
      <w:pPr>
        <w:snapToGrid w:val="0"/>
        <w:spacing w:line="54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w:t>
      </w:r>
      <w:r>
        <w:rPr>
          <w:rFonts w:hint="eastAsia" w:ascii="楷体_GB2312" w:hAnsi="楷体_GB2312" w:eastAsia="楷体_GB2312" w:cs="楷体_GB2312"/>
          <w:bCs/>
          <w:color w:val="000000"/>
          <w:sz w:val="32"/>
          <w:szCs w:val="32"/>
          <w:lang w:eastAsia="zh-CN"/>
        </w:rPr>
        <w:t>九</w:t>
      </w:r>
      <w:r>
        <w:rPr>
          <w:rFonts w:hint="eastAsia" w:ascii="楷体_GB2312" w:hAnsi="楷体_GB2312" w:eastAsia="楷体_GB2312" w:cs="楷体_GB2312"/>
          <w:bCs/>
          <w:color w:val="000000"/>
          <w:sz w:val="32"/>
          <w:szCs w:val="32"/>
        </w:rPr>
        <w:t>）关于莲都</w:t>
      </w:r>
      <w:r>
        <w:rPr>
          <w:rFonts w:hint="eastAsia" w:ascii="楷体_GB2312" w:hAnsi="楷体_GB2312" w:eastAsia="楷体_GB2312" w:cs="楷体_GB2312"/>
          <w:bCs/>
          <w:color w:val="000000"/>
          <w:sz w:val="32"/>
          <w:szCs w:val="32"/>
          <w:lang w:eastAsia="zh-CN"/>
        </w:rPr>
        <w:t>区</w:t>
      </w:r>
      <w:r>
        <w:rPr>
          <w:rFonts w:hint="eastAsia" w:ascii="楷体_GB2312" w:hAnsi="楷体_GB2312" w:eastAsia="楷体_GB2312" w:cs="楷体_GB2312"/>
          <w:bCs/>
          <w:color w:val="000000"/>
          <w:sz w:val="32"/>
          <w:szCs w:val="32"/>
        </w:rPr>
        <w:t>人民法院</w:t>
      </w:r>
      <w:r>
        <w:rPr>
          <w:rFonts w:hint="eastAsia" w:ascii="楷体_GB2312" w:hAnsi="楷体_GB2312" w:eastAsia="楷体_GB2312" w:cs="楷体_GB2312"/>
          <w:b w:val="0"/>
          <w:bCs/>
          <w:sz w:val="32"/>
          <w:szCs w:val="32"/>
          <w:highlight w:val="none"/>
          <w:lang w:eastAsia="zh-CN"/>
        </w:rPr>
        <w:t>审判保障服务中心</w:t>
      </w:r>
      <w:r>
        <w:rPr>
          <w:rFonts w:hint="eastAsia" w:ascii="楷体_GB2312" w:hAnsi="楷体_GB2312" w:eastAsia="楷体_GB2312" w:cs="楷体_GB2312"/>
          <w:bCs/>
          <w:color w:val="000000"/>
          <w:sz w:val="32"/>
          <w:szCs w:val="32"/>
        </w:rPr>
        <w:t>202</w:t>
      </w:r>
      <w:r>
        <w:rPr>
          <w:rFonts w:hint="eastAsia" w:ascii="楷体_GB2312" w:hAnsi="楷体_GB2312" w:eastAsia="楷体_GB2312" w:cs="楷体_GB2312"/>
          <w:bCs/>
          <w:color w:val="000000"/>
          <w:sz w:val="32"/>
          <w:szCs w:val="32"/>
          <w:lang w:val="en-US" w:eastAsia="zh-CN"/>
        </w:rPr>
        <w:t>2</w:t>
      </w:r>
      <w:r>
        <w:rPr>
          <w:rFonts w:hint="eastAsia" w:ascii="楷体_GB2312" w:hAnsi="楷体_GB2312" w:eastAsia="楷体_GB2312" w:cs="楷体_GB2312"/>
          <w:bCs/>
          <w:color w:val="000000"/>
          <w:sz w:val="32"/>
          <w:szCs w:val="32"/>
        </w:rPr>
        <w:t>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napToGrid w:val="0"/>
        <w:spacing w:line="540" w:lineRule="exact"/>
        <w:ind w:firstLine="640" w:firstLineChars="200"/>
        <w:rPr>
          <w:rFonts w:ascii="仿宋_GB2312" w:hAnsi="仿宋_GB2312" w:eastAsia="仿宋_GB2312"/>
          <w:color w:val="auto"/>
          <w:sz w:val="32"/>
        </w:rPr>
      </w:pPr>
      <w:r>
        <w:rPr>
          <w:rFonts w:hint="eastAsia" w:ascii="仿宋_GB2312" w:eastAsia="仿宋_GB2312"/>
          <w:bCs/>
          <w:sz w:val="32"/>
          <w:szCs w:val="32"/>
        </w:rPr>
        <w:t>莲都</w:t>
      </w:r>
      <w:r>
        <w:rPr>
          <w:rFonts w:hint="eastAsia" w:ascii="仿宋_GB2312" w:eastAsia="仿宋_GB2312"/>
          <w:bCs/>
          <w:sz w:val="32"/>
          <w:szCs w:val="32"/>
          <w:lang w:eastAsia="zh-CN"/>
        </w:rPr>
        <w:t>区</w:t>
      </w:r>
      <w:r>
        <w:rPr>
          <w:rFonts w:hint="eastAsia" w:ascii="仿宋_GB2312" w:eastAsia="仿宋_GB2312"/>
          <w:bCs/>
          <w:sz w:val="32"/>
          <w:szCs w:val="32"/>
        </w:rPr>
        <w:t>人民法院</w:t>
      </w:r>
      <w:r>
        <w:rPr>
          <w:rFonts w:hint="eastAsia" w:ascii="仿宋_GB2312" w:eastAsia="仿宋_GB2312"/>
          <w:bCs/>
          <w:sz w:val="32"/>
          <w:szCs w:val="32"/>
          <w:lang w:eastAsia="zh-CN"/>
        </w:rPr>
        <w:t>审判保障服务中心</w:t>
      </w:r>
      <w:r>
        <w:rPr>
          <w:rFonts w:hint="eastAsia" w:ascii="仿宋_GB2312" w:hAnsi="仿宋_GB2312" w:eastAsia="仿宋_GB2312"/>
          <w:color w:val="auto"/>
          <w:sz w:val="32"/>
        </w:rPr>
        <w:t>20</w:t>
      </w:r>
      <w:r>
        <w:rPr>
          <w:rFonts w:hint="eastAsia" w:ascii="仿宋_GB2312" w:hAnsi="仿宋_GB2312" w:eastAsia="仿宋_GB2312"/>
          <w:color w:val="auto"/>
          <w:sz w:val="32"/>
          <w:lang w:val="en-US" w:eastAsia="zh-CN"/>
        </w:rPr>
        <w:t>22</w:t>
      </w:r>
      <w:r>
        <w:rPr>
          <w:rFonts w:hint="eastAsia" w:ascii="仿宋_GB2312" w:hAnsi="仿宋_GB2312" w:eastAsia="仿宋_GB2312"/>
          <w:color w:val="auto"/>
          <w:sz w:val="32"/>
        </w:rPr>
        <w:t>年“三公”经费预算数为</w:t>
      </w:r>
      <w:r>
        <w:rPr>
          <w:rFonts w:hint="eastAsia" w:ascii="仿宋_GB2312" w:eastAsia="仿宋_GB2312"/>
          <w:color w:val="auto"/>
          <w:sz w:val="32"/>
          <w:szCs w:val="32"/>
          <w:lang w:val="en-US" w:eastAsia="zh-CN"/>
        </w:rPr>
        <w:t>3</w:t>
      </w:r>
      <w:r>
        <w:rPr>
          <w:rFonts w:hint="eastAsia" w:ascii="仿宋_GB2312" w:hAnsi="仿宋_GB2312" w:eastAsia="仿宋_GB2312"/>
          <w:color w:val="auto"/>
          <w:sz w:val="32"/>
        </w:rPr>
        <w:t>万元，</w:t>
      </w:r>
      <w:r>
        <w:rPr>
          <w:rFonts w:hint="eastAsia" w:ascii="仿宋_GB2312" w:hAnsi="仿宋_GB2312" w:eastAsia="仿宋_GB2312" w:cs="仿宋_GB2312"/>
          <w:color w:val="auto"/>
          <w:sz w:val="32"/>
          <w:szCs w:val="32"/>
          <w:lang w:eastAsia="zh-CN"/>
        </w:rPr>
        <w:t>较上一年度执行数增加</w:t>
      </w:r>
      <w:r>
        <w:rPr>
          <w:rFonts w:hint="eastAsia" w:ascii="仿宋_GB2312" w:hAnsi="仿宋_GB2312" w:eastAsia="仿宋_GB2312" w:cs="仿宋_GB2312"/>
          <w:color w:val="auto"/>
          <w:sz w:val="32"/>
          <w:szCs w:val="32"/>
          <w:lang w:val="en-US" w:eastAsia="zh-CN"/>
        </w:rPr>
        <w:t>2.5万元，增长500%</w:t>
      </w:r>
      <w:r>
        <w:rPr>
          <w:rFonts w:hint="eastAsia" w:ascii="仿宋_GB2312" w:hAnsi="仿宋_GB2312" w:eastAsia="仿宋_GB2312"/>
          <w:color w:val="auto"/>
          <w:sz w:val="32"/>
        </w:rPr>
        <w:t>，</w:t>
      </w:r>
      <w:bookmarkStart w:id="0" w:name="_GoBack"/>
      <w:bookmarkEnd w:id="0"/>
      <w:r>
        <w:rPr>
          <w:rFonts w:hint="eastAsia" w:ascii="仿宋_GB2312" w:hAnsi="仿宋_GB2312" w:eastAsia="仿宋_GB2312"/>
          <w:color w:val="auto"/>
          <w:sz w:val="32"/>
        </w:rPr>
        <w:t>具体如下：</w:t>
      </w:r>
    </w:p>
    <w:p>
      <w:pPr>
        <w:snapToGrid w:val="0"/>
        <w:spacing w:line="54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1.因公出国（境）费用：</w:t>
      </w:r>
      <w:r>
        <w:rPr>
          <w:rFonts w:hint="eastAsia" w:ascii="仿宋_GB2312" w:hAnsi="仿宋_GB2312" w:eastAsia="仿宋_GB2312" w:cs="仿宋_GB2312"/>
          <w:color w:val="auto"/>
          <w:sz w:val="32"/>
          <w:szCs w:val="32"/>
        </w:rPr>
        <w:t>根据莲都区安排的因公出国计划和实际工作需要，202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安排因公出国（境）费用预算0万元，与上年执行数持平。主要用于单位人员的办案等公务出国（境）的国际旅费、国外城市间交通费、住宿费、伙食费、培训费、公杂费等支出。持平的主要原因是本年未有人出国。</w:t>
      </w:r>
    </w:p>
    <w:p>
      <w:pPr>
        <w:snapToGrid w:val="0"/>
        <w:spacing w:line="54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b/>
          <w:bCs/>
          <w:color w:val="auto"/>
          <w:kern w:val="0"/>
          <w:sz w:val="32"/>
          <w:szCs w:val="32"/>
        </w:rPr>
        <w:t xml:space="preserve">  2.公务接待费：</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rPr>
        <w:t>年安排公务接待费预算</w:t>
      </w:r>
      <w:r>
        <w:rPr>
          <w:rFonts w:hint="eastAsia" w:ascii="仿宋_GB2312" w:eastAsia="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万元，与上年执行数持平主要用于接待接待上级法院、省内外其他法院及其他部门来我院的办案、交流、考察等支出。持平的主要原因是</w:t>
      </w:r>
      <w:r>
        <w:rPr>
          <w:rFonts w:hint="eastAsia" w:ascii="仿宋_GB2312" w:hAnsi="仿宋_GB2312" w:eastAsia="仿宋_GB2312" w:cs="仿宋_GB2312"/>
          <w:b w:val="0"/>
          <w:bCs w:val="0"/>
          <w:color w:val="auto"/>
          <w:sz w:val="32"/>
          <w:szCs w:val="32"/>
          <w:lang w:val="en-US" w:eastAsia="zh-CN"/>
        </w:rPr>
        <w:t>招待费基本在区法院本级进行招待支出</w:t>
      </w:r>
      <w:r>
        <w:rPr>
          <w:rFonts w:hint="eastAsia" w:ascii="仿宋_GB2312" w:hAnsi="仿宋_GB2312" w:eastAsia="仿宋_GB2312" w:cs="仿宋_GB2312"/>
          <w:b w:val="0"/>
          <w:bCs w:val="0"/>
          <w:color w:val="auto"/>
          <w:sz w:val="32"/>
          <w:szCs w:val="32"/>
        </w:rPr>
        <w:t>。</w:t>
      </w:r>
    </w:p>
    <w:p>
      <w:pPr>
        <w:pStyle w:val="6"/>
        <w:keepNext w:val="0"/>
        <w:keepLines w:val="0"/>
        <w:widowControl/>
        <w:suppressLineNumbers w:val="0"/>
        <w:spacing w:line="555" w:lineRule="atLeast"/>
        <w:ind w:left="0" w:firstLine="645"/>
        <w:rPr>
          <w:rFonts w:hint="eastAsia" w:ascii="仿宋_GB2312" w:eastAsia="仿宋_GB2312"/>
          <w:b/>
          <w:bCs/>
          <w:color w:val="auto"/>
          <w:sz w:val="32"/>
          <w:szCs w:val="32"/>
          <w:lang w:eastAsia="zh-CN"/>
        </w:rPr>
      </w:pPr>
      <w:r>
        <w:rPr>
          <w:rFonts w:hint="eastAsia" w:ascii="仿宋_GB2312" w:eastAsia="仿宋_GB2312"/>
          <w:b/>
          <w:bCs/>
          <w:color w:val="auto"/>
          <w:sz w:val="32"/>
          <w:szCs w:val="32"/>
        </w:rPr>
        <w:t>3.公务用车购置及运行维护费：</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年安排公务用车购置及运行维护费预算</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万元，</w:t>
      </w:r>
      <w:r>
        <w:rPr>
          <w:rFonts w:hint="eastAsia" w:ascii="仿宋_GB2312" w:eastAsia="仿宋_GB2312"/>
          <w:color w:val="auto"/>
          <w:sz w:val="32"/>
          <w:szCs w:val="32"/>
          <w:lang w:eastAsia="zh-CN"/>
        </w:rPr>
        <w:t>较上年执行数增加</w:t>
      </w:r>
      <w:r>
        <w:rPr>
          <w:rFonts w:hint="eastAsia" w:ascii="仿宋_GB2312" w:eastAsia="仿宋_GB2312"/>
          <w:color w:val="auto"/>
          <w:sz w:val="32"/>
          <w:szCs w:val="32"/>
          <w:lang w:val="en-US" w:eastAsia="zh-CN"/>
        </w:rPr>
        <w:t>2.5万元，增长500%</w:t>
      </w:r>
      <w:r>
        <w:rPr>
          <w:rFonts w:hint="eastAsia" w:ascii="仿宋_GB2312" w:hAnsi="微软雅黑" w:eastAsia="仿宋_GB2312" w:cs="仿宋_GB2312"/>
          <w:sz w:val="31"/>
          <w:szCs w:val="31"/>
        </w:rPr>
        <w:t>。</w:t>
      </w:r>
      <w:r>
        <w:rPr>
          <w:rFonts w:hint="eastAsia" w:ascii="仿宋_GB2312" w:eastAsia="仿宋_GB2312"/>
          <w:color w:val="auto"/>
          <w:sz w:val="32"/>
          <w:szCs w:val="32"/>
        </w:rPr>
        <w:t>其中，公务用车购置支出0万元（含购置税等附加费用），主要用于经批准购置的0辆公务用车，与上年执行数持平，主要原因是均未发生支出；公</w:t>
      </w:r>
      <w:r>
        <w:rPr>
          <w:rFonts w:hint="eastAsia" w:ascii="仿宋_GB2312" w:hAnsi="微软雅黑" w:eastAsia="仿宋_GB2312" w:cs="仿宋_GB2312"/>
          <w:sz w:val="31"/>
          <w:szCs w:val="31"/>
        </w:rPr>
        <w:t>务用车运行维护费支出</w:t>
      </w:r>
      <w:r>
        <w:rPr>
          <w:rFonts w:hint="eastAsia" w:ascii="仿宋_GB2312" w:hAnsi="微软雅黑" w:eastAsia="仿宋_GB2312" w:cs="仿宋_GB2312"/>
          <w:color w:val="000000"/>
          <w:sz w:val="31"/>
          <w:szCs w:val="31"/>
        </w:rPr>
        <w:t>3</w:t>
      </w:r>
      <w:r>
        <w:rPr>
          <w:rFonts w:hint="eastAsia" w:ascii="仿宋_GB2312" w:hAnsi="微软雅黑" w:eastAsia="仿宋_GB2312" w:cs="仿宋_GB2312"/>
          <w:sz w:val="31"/>
          <w:szCs w:val="31"/>
        </w:rPr>
        <w:t>万元，主要用于审判执行等所需的公务用车燃料费、维修费、过桥过路费、保险费、安全奖励费用等支出。</w:t>
      </w:r>
      <w:r>
        <w:rPr>
          <w:rFonts w:hint="eastAsia" w:ascii="仿宋_GB2312" w:hAnsi="微软雅黑" w:eastAsia="仿宋_GB2312" w:cs="仿宋_GB2312"/>
          <w:sz w:val="31"/>
          <w:szCs w:val="31"/>
          <w:lang w:eastAsia="zh-CN"/>
        </w:rPr>
        <w:t>比上年执行数增加的主要原因为，上年仅有油费支出，本年度根据工作业务安排，需支付保险费等各类费用支出。</w:t>
      </w:r>
    </w:p>
    <w:p>
      <w:pPr>
        <w:snapToGrid w:val="0"/>
        <w:spacing w:line="54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十</w:t>
      </w:r>
      <w:r>
        <w:rPr>
          <w:rFonts w:hint="eastAsia" w:ascii="楷体_GB2312" w:hAnsi="楷体_GB2312" w:eastAsia="楷体_GB2312" w:cs="楷体_GB2312"/>
          <w:bCs/>
          <w:sz w:val="32"/>
          <w:szCs w:val="32"/>
        </w:rPr>
        <w:t>）其他重要事项的情况说明</w:t>
      </w:r>
    </w:p>
    <w:p>
      <w:pPr>
        <w:pStyle w:val="16"/>
        <w:snapToGrid w:val="0"/>
        <w:spacing w:line="540" w:lineRule="exact"/>
        <w:ind w:firstLine="600"/>
        <w:rPr>
          <w:rFonts w:ascii="仿宋_GB2312" w:eastAsia="仿宋_GB2312"/>
          <w:b/>
          <w:bCs/>
          <w:sz w:val="32"/>
          <w:szCs w:val="32"/>
        </w:rPr>
      </w:pPr>
      <w:r>
        <w:rPr>
          <w:rFonts w:hint="eastAsia" w:ascii="仿宋_GB2312" w:eastAsia="仿宋_GB2312"/>
          <w:b/>
          <w:bCs/>
          <w:sz w:val="32"/>
          <w:szCs w:val="32"/>
        </w:rPr>
        <w:t>1.机关运行经费</w:t>
      </w:r>
    </w:p>
    <w:p>
      <w:pPr>
        <w:pStyle w:val="6"/>
        <w:keepNext w:val="0"/>
        <w:keepLines w:val="0"/>
        <w:widowControl/>
        <w:suppressLineNumbers w:val="0"/>
        <w:spacing w:line="555" w:lineRule="atLeast"/>
        <w:ind w:left="0" w:firstLine="645"/>
        <w:rPr>
          <w:rFonts w:hint="eastAsia" w:ascii="仿宋_GB2312" w:eastAsia="仿宋_GB2312"/>
          <w:bCs/>
          <w:sz w:val="32"/>
          <w:szCs w:val="32"/>
        </w:rPr>
      </w:pPr>
      <w:r>
        <w:rPr>
          <w:rFonts w:hint="eastAsia" w:ascii="仿宋_GB2312" w:eastAsia="仿宋_GB2312"/>
          <w:bCs/>
          <w:sz w:val="32"/>
          <w:szCs w:val="32"/>
        </w:rPr>
        <w:t>20</w:t>
      </w:r>
      <w:r>
        <w:rPr>
          <w:rFonts w:hint="eastAsia" w:ascii="仿宋_GB2312" w:eastAsia="仿宋_GB2312"/>
          <w:bCs/>
          <w:sz w:val="32"/>
          <w:szCs w:val="32"/>
          <w:lang w:val="en-US" w:eastAsia="zh-CN"/>
        </w:rPr>
        <w:t>22</w:t>
      </w:r>
      <w:r>
        <w:rPr>
          <w:rFonts w:hint="eastAsia" w:ascii="仿宋_GB2312" w:eastAsia="仿宋_GB2312"/>
          <w:bCs/>
          <w:sz w:val="32"/>
          <w:szCs w:val="32"/>
        </w:rPr>
        <w:t>年莲都</w:t>
      </w:r>
      <w:r>
        <w:rPr>
          <w:rFonts w:hint="eastAsia" w:ascii="仿宋_GB2312" w:eastAsia="仿宋_GB2312"/>
          <w:bCs/>
          <w:sz w:val="32"/>
          <w:szCs w:val="32"/>
          <w:lang w:eastAsia="zh-CN"/>
        </w:rPr>
        <w:t>区</w:t>
      </w:r>
      <w:r>
        <w:rPr>
          <w:rFonts w:hint="eastAsia" w:ascii="仿宋_GB2312" w:eastAsia="仿宋_GB2312"/>
          <w:bCs/>
          <w:sz w:val="32"/>
          <w:szCs w:val="32"/>
        </w:rPr>
        <w:t>人民法院</w:t>
      </w:r>
      <w:r>
        <w:rPr>
          <w:rFonts w:hint="eastAsia" w:ascii="仿宋_GB2312" w:eastAsia="仿宋_GB2312"/>
          <w:bCs/>
          <w:sz w:val="32"/>
          <w:szCs w:val="32"/>
          <w:lang w:eastAsia="zh-CN"/>
        </w:rPr>
        <w:t>审判保障服务中心无机关运行经费预算安排，因本单位为</w:t>
      </w:r>
      <w:r>
        <w:rPr>
          <w:rFonts w:hint="eastAsia" w:ascii="仿宋_GB2312" w:eastAsia="仿宋_GB2312"/>
          <w:bCs/>
          <w:sz w:val="32"/>
          <w:szCs w:val="32"/>
        </w:rPr>
        <w:t>事业单位，无机关运行经费预算安排。</w:t>
      </w:r>
    </w:p>
    <w:p>
      <w:pPr>
        <w:pStyle w:val="16"/>
        <w:numPr>
          <w:ilvl w:val="0"/>
          <w:numId w:val="5"/>
        </w:numPr>
        <w:snapToGrid w:val="0"/>
        <w:spacing w:line="540" w:lineRule="exact"/>
        <w:ind w:firstLine="600"/>
        <w:rPr>
          <w:rFonts w:ascii="仿宋_GB2312" w:eastAsia="仿宋_GB2312"/>
          <w:b/>
          <w:bCs/>
          <w:sz w:val="32"/>
          <w:szCs w:val="32"/>
        </w:rPr>
      </w:pPr>
      <w:r>
        <w:rPr>
          <w:rFonts w:hint="eastAsia" w:ascii="仿宋_GB2312" w:eastAsia="仿宋_GB2312"/>
          <w:b/>
          <w:bCs/>
          <w:sz w:val="32"/>
          <w:szCs w:val="32"/>
        </w:rPr>
        <w:t>政府采购情况</w:t>
      </w:r>
    </w:p>
    <w:p>
      <w:pPr>
        <w:pStyle w:val="16"/>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2022</w:t>
      </w:r>
      <w:r>
        <w:rPr>
          <w:rFonts w:hint="eastAsia" w:ascii="仿宋_GB2312" w:eastAsia="仿宋_GB2312"/>
          <w:color w:val="auto"/>
          <w:sz w:val="32"/>
          <w:szCs w:val="32"/>
        </w:rPr>
        <w:t>年</w:t>
      </w:r>
      <w:r>
        <w:rPr>
          <w:rFonts w:hint="eastAsia" w:ascii="仿宋_GB2312" w:eastAsia="仿宋_GB2312"/>
          <w:bCs/>
          <w:sz w:val="32"/>
          <w:szCs w:val="32"/>
        </w:rPr>
        <w:t>莲都</w:t>
      </w:r>
      <w:r>
        <w:rPr>
          <w:rFonts w:hint="eastAsia" w:ascii="仿宋_GB2312" w:eastAsia="仿宋_GB2312"/>
          <w:bCs/>
          <w:sz w:val="32"/>
          <w:szCs w:val="32"/>
          <w:lang w:eastAsia="zh-CN"/>
        </w:rPr>
        <w:t>区</w:t>
      </w:r>
      <w:r>
        <w:rPr>
          <w:rFonts w:hint="eastAsia" w:ascii="仿宋_GB2312" w:eastAsia="仿宋_GB2312"/>
          <w:bCs/>
          <w:sz w:val="32"/>
          <w:szCs w:val="32"/>
        </w:rPr>
        <w:t>人民法院</w:t>
      </w:r>
      <w:r>
        <w:rPr>
          <w:rFonts w:hint="eastAsia" w:ascii="仿宋_GB2312" w:eastAsia="仿宋_GB2312"/>
          <w:bCs/>
          <w:sz w:val="32"/>
          <w:szCs w:val="32"/>
          <w:lang w:eastAsia="zh-CN"/>
        </w:rPr>
        <w:t>审判保障服务中心</w:t>
      </w:r>
      <w:r>
        <w:rPr>
          <w:rFonts w:hint="eastAsia" w:ascii="仿宋_GB2312" w:eastAsia="仿宋_GB2312"/>
          <w:color w:val="auto"/>
          <w:sz w:val="32"/>
          <w:szCs w:val="32"/>
        </w:rPr>
        <w:t>政府采购预算总额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万元，其中：政府采购货物预算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万元、政府采购工程预算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万元、政府采购服务预算</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pStyle w:val="16"/>
        <w:snapToGrid w:val="0"/>
        <w:spacing w:line="540" w:lineRule="exact"/>
        <w:ind w:firstLine="642"/>
        <w:rPr>
          <w:rFonts w:ascii="仿宋_GB2312" w:eastAsia="仿宋_GB2312"/>
          <w:sz w:val="32"/>
          <w:szCs w:val="32"/>
        </w:rPr>
      </w:pPr>
      <w:r>
        <w:rPr>
          <w:rFonts w:hint="eastAsia" w:ascii="仿宋_GB2312" w:eastAsia="仿宋_GB2312"/>
          <w:b/>
          <w:bCs/>
          <w:sz w:val="32"/>
          <w:szCs w:val="32"/>
        </w:rPr>
        <w:t>3.国有资产占有使用情况</w:t>
      </w:r>
    </w:p>
    <w:p>
      <w:pPr>
        <w:snapToGrid w:val="0"/>
        <w:spacing w:line="540" w:lineRule="exact"/>
        <w:ind w:firstLine="640"/>
        <w:jc w:val="left"/>
        <w:rPr>
          <w:rFonts w:ascii="仿宋_GB2312" w:hAnsi="仿宋_GB2312" w:eastAsia="仿宋_GB2312" w:cs="仿宋_GB2312"/>
          <w:color w:val="0000FF"/>
          <w:sz w:val="32"/>
          <w:szCs w:val="32"/>
        </w:rPr>
      </w:pPr>
      <w:r>
        <w:rPr>
          <w:rFonts w:hint="eastAsia" w:ascii="仿宋_GB2312" w:hAnsi="仿宋_GB2312" w:eastAsia="仿宋_GB2312" w:cs="仿宋_GB2312"/>
          <w:color w:val="auto"/>
          <w:spacing w:val="6"/>
          <w:sz w:val="32"/>
          <w:szCs w:val="32"/>
          <w:highlight w:val="none"/>
          <w:u w:val="none"/>
          <w:lang w:val="en-US" w:eastAsia="zh-CN"/>
        </w:rPr>
        <w:t>截至2021年12月31日，</w:t>
      </w:r>
      <w:r>
        <w:rPr>
          <w:rFonts w:hint="eastAsia" w:ascii="仿宋_GB2312" w:eastAsia="仿宋_GB2312"/>
          <w:bCs/>
          <w:sz w:val="32"/>
          <w:szCs w:val="32"/>
        </w:rPr>
        <w:t>莲都</w:t>
      </w:r>
      <w:r>
        <w:rPr>
          <w:rFonts w:hint="eastAsia" w:ascii="仿宋_GB2312" w:eastAsia="仿宋_GB2312"/>
          <w:bCs/>
          <w:sz w:val="32"/>
          <w:szCs w:val="32"/>
          <w:lang w:eastAsia="zh-CN"/>
        </w:rPr>
        <w:t>区</w:t>
      </w:r>
      <w:r>
        <w:rPr>
          <w:rFonts w:hint="eastAsia" w:ascii="仿宋_GB2312" w:eastAsia="仿宋_GB2312"/>
          <w:bCs/>
          <w:sz w:val="32"/>
          <w:szCs w:val="32"/>
        </w:rPr>
        <w:t>人民法院</w:t>
      </w:r>
      <w:r>
        <w:rPr>
          <w:rFonts w:hint="eastAsia" w:ascii="仿宋_GB2312" w:eastAsia="仿宋_GB2312"/>
          <w:bCs/>
          <w:sz w:val="32"/>
          <w:szCs w:val="32"/>
          <w:lang w:eastAsia="zh-CN"/>
        </w:rPr>
        <w:t>审判保障服务中心</w:t>
      </w:r>
      <w:r>
        <w:rPr>
          <w:rFonts w:hint="eastAsia" w:ascii="仿宋_GB2312" w:hAnsi="仿宋_GB2312" w:eastAsia="仿宋_GB2312" w:cs="仿宋_GB2312"/>
          <w:color w:val="auto"/>
          <w:spacing w:val="6"/>
          <w:sz w:val="32"/>
          <w:szCs w:val="32"/>
          <w:highlight w:val="none"/>
          <w:lang w:eastAsia="zh-CN"/>
        </w:rPr>
        <w:t>共有车辆</w:t>
      </w:r>
      <w:r>
        <w:rPr>
          <w:rFonts w:hint="eastAsia" w:ascii="仿宋_GB2312" w:hAnsi="仿宋_GB2312" w:eastAsia="仿宋_GB2312" w:cs="仿宋_GB2312"/>
          <w:color w:val="auto"/>
          <w:sz w:val="32"/>
          <w:szCs w:val="32"/>
          <w:highlight w:val="none"/>
          <w:lang w:val="en-US" w:eastAsia="zh-CN"/>
        </w:rPr>
        <w:t>1辆，其中，区级领导用车0辆、机要通信用车及应急保障用车0辆、执法执勤用车1辆、特种专业技术用车0辆、老干部服务用车0辆、行政执法专用车0辆。单位价值50万元以上通用设备0台，单位价值100万元以上专用设备0台。</w:t>
      </w:r>
      <w:r>
        <w:rPr>
          <w:rFonts w:hint="eastAsia" w:ascii="仿宋_GB2312" w:hAnsi="仿宋_GB2312" w:eastAsia="仿宋_GB2312" w:cs="仿宋_GB2312"/>
          <w:color w:val="0000FF"/>
          <w:sz w:val="32"/>
          <w:szCs w:val="32"/>
        </w:rPr>
        <w:t xml:space="preserve"> </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2022年部门预算未安排购置车辆，也未安排购置单位价值50万元以上通用设备及单位价值100万元以上专用设备。</w:t>
      </w:r>
    </w:p>
    <w:p>
      <w:pPr>
        <w:pStyle w:val="16"/>
        <w:snapToGrid w:val="0"/>
        <w:spacing w:line="540" w:lineRule="exact"/>
        <w:rPr>
          <w:rFonts w:ascii="仿宋_GB2312" w:eastAsia="仿宋_GB2312"/>
          <w:b/>
          <w:bCs/>
          <w:sz w:val="32"/>
          <w:szCs w:val="32"/>
        </w:rPr>
      </w:pPr>
      <w:r>
        <w:rPr>
          <w:rFonts w:hint="eastAsia" w:ascii="仿宋_GB2312" w:eastAsia="仿宋_GB2312"/>
          <w:b/>
          <w:bCs/>
          <w:sz w:val="32"/>
          <w:szCs w:val="32"/>
        </w:rPr>
        <w:t xml:space="preserve">    4.绩效目标设置情况</w:t>
      </w:r>
    </w:p>
    <w:p>
      <w:pPr>
        <w:snapToGrid w:val="0"/>
        <w:spacing w:line="540" w:lineRule="exact"/>
        <w:ind w:firstLine="640" w:firstLineChars="200"/>
        <w:rPr>
          <w:rFonts w:hint="eastAsia" w:ascii="仿宋_GB2312" w:eastAsia="仿宋_GB2312"/>
          <w:bCs/>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w:t>
      </w:r>
      <w:r>
        <w:rPr>
          <w:rFonts w:hint="eastAsia" w:ascii="仿宋_GB2312" w:eastAsia="仿宋_GB2312"/>
          <w:bCs/>
          <w:sz w:val="32"/>
          <w:szCs w:val="32"/>
        </w:rPr>
        <w:t>莲都</w:t>
      </w:r>
      <w:r>
        <w:rPr>
          <w:rFonts w:hint="eastAsia" w:ascii="仿宋_GB2312" w:eastAsia="仿宋_GB2312"/>
          <w:bCs/>
          <w:sz w:val="32"/>
          <w:szCs w:val="32"/>
          <w:lang w:eastAsia="zh-CN"/>
        </w:rPr>
        <w:t>区</w:t>
      </w:r>
      <w:r>
        <w:rPr>
          <w:rFonts w:hint="eastAsia" w:ascii="仿宋_GB2312" w:eastAsia="仿宋_GB2312"/>
          <w:bCs/>
          <w:sz w:val="32"/>
          <w:szCs w:val="32"/>
        </w:rPr>
        <w:t>人民法院</w:t>
      </w:r>
      <w:r>
        <w:rPr>
          <w:rFonts w:hint="eastAsia" w:ascii="仿宋_GB2312" w:eastAsia="仿宋_GB2312"/>
          <w:bCs/>
          <w:sz w:val="32"/>
          <w:szCs w:val="32"/>
          <w:lang w:eastAsia="zh-CN"/>
        </w:rPr>
        <w:t>审判保障服务中心</w:t>
      </w:r>
      <w:r>
        <w:rPr>
          <w:rFonts w:hint="eastAsia" w:ascii="仿宋_GB2312" w:eastAsia="仿宋_GB2312"/>
          <w:bCs/>
          <w:sz w:val="32"/>
          <w:szCs w:val="32"/>
        </w:rPr>
        <w:t>无其他运转类项目和特定目标类项目均实行绩效目标管理，涉及一般公共预算当年拨款0万元。</w:t>
      </w:r>
    </w:p>
    <w:p>
      <w:pPr>
        <w:pStyle w:val="16"/>
        <w:snapToGrid w:val="0"/>
        <w:spacing w:line="540" w:lineRule="exact"/>
        <w:ind w:firstLine="640" w:firstLineChars="200"/>
        <w:rPr>
          <w:rStyle w:val="11"/>
          <w:rFonts w:ascii="黑体" w:hAnsi="黑体" w:eastAsia="黑体" w:cs="黑体"/>
          <w:b w:val="0"/>
          <w:bCs w:val="0"/>
          <w:sz w:val="32"/>
          <w:szCs w:val="32"/>
        </w:rPr>
      </w:pPr>
      <w:r>
        <w:rPr>
          <w:rStyle w:val="11"/>
          <w:rFonts w:hint="eastAsia" w:ascii="黑体" w:hAnsi="黑体" w:eastAsia="黑体" w:cs="黑体"/>
          <w:b w:val="0"/>
          <w:bCs w:val="0"/>
          <w:sz w:val="32"/>
          <w:szCs w:val="32"/>
        </w:rPr>
        <w:t>三、名词解释</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1.财政拨款收入：</w:t>
      </w:r>
      <w:r>
        <w:rPr>
          <w:rFonts w:hint="eastAsia" w:ascii="仿宋_GB2312" w:hAnsi="仿宋_GB2312" w:eastAsia="仿宋_GB2312" w:cs="仿宋_GB2312"/>
          <w:sz w:val="32"/>
          <w:szCs w:val="32"/>
        </w:rPr>
        <w:t>本级财政部门当年拨付的财政预算资金，包括一般公共预算财政拨款和政府性基金预算财政拨款。</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2.专户资金:</w:t>
      </w:r>
      <w:r>
        <w:rPr>
          <w:rFonts w:hint="eastAsia" w:ascii="仿宋_GB2312" w:hAnsi="仿宋_GB2312" w:eastAsia="仿宋_GB2312" w:cs="仿宋_GB2312"/>
          <w:sz w:val="32"/>
          <w:szCs w:val="32"/>
        </w:rPr>
        <w:t>教育收费作为本部门的事业收入，纳入财政专户管理的资金。</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3.事业收入：</w:t>
      </w:r>
      <w:r>
        <w:rPr>
          <w:rFonts w:hint="eastAsia" w:ascii="仿宋_GB2312" w:hAnsi="仿宋_GB2312" w:eastAsia="仿宋_GB2312" w:cs="仿宋_GB2312"/>
          <w:sz w:val="32"/>
          <w:szCs w:val="32"/>
        </w:rPr>
        <w:t>事业单位开展专业业务活动及辅助活动所取得的收入，不含专户资金收入。</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4.事业单位经营收入：</w:t>
      </w:r>
      <w:r>
        <w:rPr>
          <w:rFonts w:hint="eastAsia" w:ascii="仿宋_GB2312" w:hAnsi="仿宋_GB2312" w:eastAsia="仿宋_GB2312" w:cs="仿宋_GB2312"/>
          <w:sz w:val="32"/>
          <w:szCs w:val="32"/>
        </w:rPr>
        <w:t>事业单位在专业业务活动及辅助活动之外开展非独立核算经营活动取得的收入。</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5.其他收入：</w:t>
      </w:r>
      <w:r>
        <w:rPr>
          <w:rFonts w:hint="eastAsia" w:ascii="仿宋_GB2312" w:hAnsi="仿宋_GB2312" w:eastAsia="仿宋_GB2312" w:cs="仿宋_GB2312"/>
          <w:sz w:val="32"/>
          <w:szCs w:val="32"/>
        </w:rPr>
        <w:t>预算单位在“一般公共预算”“政府性基金”“专户资金”“事业收入”“事业单位经营收入”等之外取得的各项收入（含上级补助收入和附属单位缴款等收入）。</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6.用事业基金弥补收支差额：</w:t>
      </w:r>
      <w:r>
        <w:rPr>
          <w:rFonts w:hint="eastAsia" w:ascii="仿宋_GB2312" w:hAnsi="仿宋_GB2312" w:eastAsia="仿宋_GB2312" w:cs="仿宋_GB2312"/>
          <w:sz w:val="32"/>
          <w:szCs w:val="32"/>
        </w:rPr>
        <w:t>指事业单位在预计用当年的“财政拨款收入”“专户资金”“事业收入”“事业单位经营收入”“其他收入”“上年结转”等不足以安排当年支出的情况下，使用以前年度积累的事业基金弥补本年收支缺口的资金。</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7.上年结转：</w:t>
      </w:r>
      <w:r>
        <w:rPr>
          <w:rFonts w:hint="eastAsia" w:ascii="仿宋_GB2312" w:hAnsi="仿宋_GB2312" w:eastAsia="仿宋_GB2312" w:cs="仿宋_GB2312"/>
          <w:sz w:val="32"/>
          <w:szCs w:val="32"/>
        </w:rPr>
        <w:t>指以前年度尚未完成、结转到本年仍按原规定用途继续使用的资金。</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8.基本支出：</w:t>
      </w:r>
      <w:r>
        <w:rPr>
          <w:rFonts w:hint="eastAsia" w:ascii="仿宋_GB2312" w:hAnsi="仿宋_GB2312" w:eastAsia="仿宋_GB2312" w:cs="仿宋_GB2312"/>
          <w:sz w:val="32"/>
          <w:szCs w:val="32"/>
        </w:rPr>
        <w:t>是预算单位为保障其正常运转，完成日常工作任务所发生的支出，包括人员支出和日常公用支出。</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9.项目支出：</w:t>
      </w:r>
      <w:r>
        <w:rPr>
          <w:rFonts w:hint="eastAsia" w:ascii="仿宋_GB2312" w:hAnsi="仿宋_GB2312" w:eastAsia="仿宋_GB2312" w:cs="仿宋_GB2312"/>
          <w:sz w:val="32"/>
          <w:szCs w:val="32"/>
        </w:rPr>
        <w:t>是预算单位为完成其特定的行政工作任务或事业发展目标所发生的支出。</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10.经营支出：</w:t>
      </w:r>
      <w:r>
        <w:rPr>
          <w:rFonts w:hint="eastAsia" w:ascii="仿宋_GB2312" w:hAnsi="仿宋_GB2312" w:eastAsia="仿宋_GB2312" w:cs="仿宋_GB2312"/>
          <w:sz w:val="32"/>
          <w:szCs w:val="32"/>
        </w:rPr>
        <w:t>指事业单位在专业业务活动及其辅助活动之外开展非独立核算经营活动发生的支出。</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11.“三公”经费：</w:t>
      </w:r>
      <w:r>
        <w:rPr>
          <w:rFonts w:hint="eastAsia" w:ascii="仿宋_GB2312" w:hAnsi="仿宋_GB2312" w:eastAsia="仿宋_GB2312" w:cs="仿宋_GB2312"/>
          <w:sz w:val="32"/>
          <w:szCs w:val="32"/>
        </w:rPr>
        <w:t>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等支出；公务接待费反映单位按规定开支的各类公务接待（含外宾接待）支出。</w:t>
      </w:r>
    </w:p>
    <w:p>
      <w:pPr>
        <w:snapToGrid w:val="0"/>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12.机关运行经费：</w:t>
      </w:r>
      <w:r>
        <w:rPr>
          <w:rFonts w:hint="eastAsia" w:ascii="仿宋_GB2312" w:hAnsi="仿宋_GB2312" w:eastAsia="仿宋_GB2312" w:cs="仿宋_GB2312"/>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_GB2312" w:eastAsia="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.公共安全支出（类）法院（款）事业运行（项）：</w:t>
      </w:r>
      <w:r>
        <w:rPr>
          <w:rFonts w:hint="eastAsia" w:ascii="仿宋_GB2312" w:eastAsia="仿宋_GB2312"/>
          <w:sz w:val="32"/>
          <w:szCs w:val="32"/>
        </w:rPr>
        <w:t>指本院下属事业基本支出。</w:t>
      </w:r>
    </w:p>
    <w:p>
      <w:pPr>
        <w:ind w:firstLine="643" w:firstLineChars="200"/>
        <w:rPr>
          <w:rFonts w:ascii="仿宋_GB2312" w:eastAsia="仿宋_GB2312"/>
          <w:sz w:val="32"/>
          <w:szCs w:val="32"/>
        </w:rPr>
      </w:pPr>
      <w:r>
        <w:rPr>
          <w:rFonts w:hint="eastAsia" w:ascii="仿宋_GB2312" w:hAnsi="仿宋_GB2312" w:eastAsia="仿宋_GB2312" w:cs="仿宋_GB2312"/>
          <w:b/>
          <w:bCs/>
          <w:sz w:val="32"/>
          <w:szCs w:val="32"/>
          <w:lang w:val="en-US" w:eastAsia="zh-CN"/>
        </w:rPr>
        <w:t>14</w:t>
      </w:r>
      <w:r>
        <w:rPr>
          <w:rFonts w:hint="eastAsia" w:ascii="仿宋_GB2312" w:hAnsi="仿宋_GB2312" w:eastAsia="仿宋_GB2312" w:cs="仿宋_GB2312"/>
          <w:b/>
          <w:bCs/>
          <w:sz w:val="32"/>
          <w:szCs w:val="32"/>
        </w:rPr>
        <w:t>.社会保障和就业支出（类）行政事业单位</w:t>
      </w:r>
      <w:r>
        <w:rPr>
          <w:rFonts w:hint="eastAsia" w:ascii="仿宋_GB2312" w:hAnsi="仿宋_GB2312" w:eastAsia="仿宋_GB2312" w:cs="仿宋_GB2312"/>
          <w:b/>
          <w:bCs/>
          <w:sz w:val="32"/>
          <w:szCs w:val="32"/>
          <w:lang w:eastAsia="zh-CN"/>
        </w:rPr>
        <w:t>养老支出</w:t>
      </w:r>
      <w:r>
        <w:rPr>
          <w:rFonts w:hint="eastAsia" w:ascii="仿宋_GB2312" w:hAnsi="仿宋_GB2312" w:eastAsia="仿宋_GB2312" w:cs="仿宋_GB2312"/>
          <w:b/>
          <w:bCs/>
          <w:sz w:val="32"/>
          <w:szCs w:val="32"/>
        </w:rPr>
        <w:t>（款）机关事业单位基本养老保险缴费支出（项）：</w:t>
      </w:r>
      <w:r>
        <w:rPr>
          <w:rFonts w:hint="eastAsia" w:ascii="仿宋_GB2312" w:eastAsia="仿宋_GB2312"/>
          <w:sz w:val="32"/>
          <w:szCs w:val="32"/>
        </w:rPr>
        <w:t>指单位缴纳的基本养老保险费支出；</w:t>
      </w:r>
    </w:p>
    <w:p>
      <w:pPr>
        <w:ind w:firstLine="643" w:firstLineChars="200"/>
        <w:rPr>
          <w:rFonts w:ascii="仿宋_GB2312" w:eastAsia="仿宋_GB2312"/>
          <w:sz w:val="32"/>
          <w:szCs w:val="32"/>
        </w:rPr>
      </w:pP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rPr>
        <w:t>.社会保障和就业支出（类）行政事业单位</w:t>
      </w:r>
      <w:r>
        <w:rPr>
          <w:rFonts w:hint="eastAsia" w:ascii="仿宋_GB2312" w:hAnsi="仿宋_GB2312" w:eastAsia="仿宋_GB2312" w:cs="仿宋_GB2312"/>
          <w:b/>
          <w:bCs/>
          <w:sz w:val="32"/>
          <w:szCs w:val="32"/>
          <w:lang w:eastAsia="zh-CN"/>
        </w:rPr>
        <w:t>养老支出</w:t>
      </w:r>
      <w:r>
        <w:rPr>
          <w:rFonts w:hint="eastAsia" w:ascii="仿宋_GB2312" w:hAnsi="仿宋_GB2312" w:eastAsia="仿宋_GB2312" w:cs="仿宋_GB2312"/>
          <w:b/>
          <w:bCs/>
          <w:sz w:val="32"/>
          <w:szCs w:val="32"/>
        </w:rPr>
        <w:t>（款）机关事业单位职业年金缴费支出（项）：</w:t>
      </w:r>
      <w:r>
        <w:rPr>
          <w:rFonts w:hint="eastAsia" w:ascii="仿宋_GB2312" w:eastAsia="仿宋_GB2312"/>
          <w:sz w:val="32"/>
          <w:szCs w:val="32"/>
        </w:rPr>
        <w:t>指单位实际缴纳职业年金支出；</w:t>
      </w:r>
    </w:p>
    <w:p>
      <w:pPr>
        <w:ind w:firstLine="643" w:firstLineChars="200"/>
        <w:rPr>
          <w:rFonts w:ascii="仿宋_GB2312" w:eastAsia="仿宋_GB2312"/>
          <w:sz w:val="32"/>
          <w:szCs w:val="32"/>
        </w:rPr>
      </w:pP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rPr>
        <w:t>.社会保障和就业支出（类）行政事业单位</w:t>
      </w:r>
      <w:r>
        <w:rPr>
          <w:rFonts w:hint="eastAsia" w:ascii="仿宋_GB2312" w:hAnsi="仿宋_GB2312" w:eastAsia="仿宋_GB2312" w:cs="仿宋_GB2312"/>
          <w:b/>
          <w:bCs/>
          <w:sz w:val="32"/>
          <w:szCs w:val="32"/>
          <w:lang w:eastAsia="zh-CN"/>
        </w:rPr>
        <w:t>养老支出</w:t>
      </w:r>
      <w:r>
        <w:rPr>
          <w:rFonts w:hint="eastAsia" w:ascii="仿宋_GB2312" w:hAnsi="仿宋_GB2312" w:eastAsia="仿宋_GB2312" w:cs="仿宋_GB2312"/>
          <w:b/>
          <w:bCs/>
          <w:sz w:val="32"/>
          <w:szCs w:val="32"/>
        </w:rPr>
        <w:t>（款）其他行政事业单位</w:t>
      </w:r>
      <w:r>
        <w:rPr>
          <w:rFonts w:hint="eastAsia" w:ascii="仿宋_GB2312" w:hAnsi="仿宋_GB2312" w:eastAsia="仿宋_GB2312" w:cs="仿宋_GB2312"/>
          <w:b/>
          <w:bCs/>
          <w:sz w:val="32"/>
          <w:szCs w:val="32"/>
          <w:lang w:eastAsia="zh-CN"/>
        </w:rPr>
        <w:t>养老</w:t>
      </w:r>
      <w:r>
        <w:rPr>
          <w:rFonts w:hint="eastAsia" w:ascii="仿宋_GB2312" w:hAnsi="仿宋_GB2312" w:eastAsia="仿宋_GB2312" w:cs="仿宋_GB2312"/>
          <w:b/>
          <w:bCs/>
          <w:sz w:val="32"/>
          <w:szCs w:val="32"/>
        </w:rPr>
        <w:t>支出（项）：</w:t>
      </w:r>
      <w:r>
        <w:rPr>
          <w:rFonts w:hint="eastAsia" w:ascii="仿宋_GB2312" w:eastAsia="仿宋_GB2312"/>
          <w:sz w:val="32"/>
          <w:szCs w:val="32"/>
        </w:rPr>
        <w:t>指单位用于离退休方面支出。</w:t>
      </w:r>
    </w:p>
    <w:p>
      <w:pPr>
        <w:ind w:firstLine="643" w:firstLineChars="200"/>
        <w:rPr>
          <w:rFonts w:ascii="仿宋_GB2312" w:eastAsia="仿宋_GB2312"/>
          <w:sz w:val="32"/>
          <w:szCs w:val="32"/>
        </w:rPr>
      </w:pP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b/>
          <w:bCs/>
          <w:sz w:val="32"/>
          <w:szCs w:val="32"/>
        </w:rPr>
        <w:t>.卫生健康支出（类）行政事业单位医疗（款）事业单位医疗（项）：</w:t>
      </w:r>
      <w:r>
        <w:rPr>
          <w:rFonts w:hint="eastAsia" w:ascii="仿宋_GB2312" w:eastAsia="仿宋_GB2312"/>
          <w:sz w:val="32"/>
          <w:szCs w:val="32"/>
        </w:rPr>
        <w:t>指事业单位缴纳医疗保险费支出。</w:t>
      </w:r>
    </w:p>
    <w:p>
      <w:pPr>
        <w:ind w:firstLine="643" w:firstLineChars="200"/>
        <w:rPr>
          <w:rFonts w:ascii="仿宋_GB2312" w:eastAsia="仿宋_GB2312"/>
          <w:sz w:val="32"/>
          <w:szCs w:val="32"/>
        </w:rPr>
      </w:pPr>
      <w:r>
        <w:rPr>
          <w:rFonts w:hint="eastAsia" w:ascii="仿宋_GB2312" w:hAnsi="仿宋_GB2312" w:eastAsia="仿宋_GB2312" w:cs="仿宋_GB2312"/>
          <w:b/>
          <w:bCs/>
          <w:sz w:val="32"/>
          <w:szCs w:val="32"/>
          <w:lang w:val="en-US" w:eastAsia="zh-CN"/>
        </w:rPr>
        <w:t>18</w:t>
      </w:r>
      <w:r>
        <w:rPr>
          <w:rFonts w:hint="eastAsia" w:ascii="仿宋_GB2312" w:hAnsi="仿宋_GB2312" w:eastAsia="仿宋_GB2312" w:cs="仿宋_GB2312"/>
          <w:b/>
          <w:bCs/>
          <w:sz w:val="32"/>
          <w:szCs w:val="32"/>
        </w:rPr>
        <w:t>.住房保障支出（类）住房改革支出（款）住房公积金（项）：</w:t>
      </w:r>
      <w:r>
        <w:rPr>
          <w:rFonts w:hint="eastAsia" w:ascii="仿宋_GB2312" w:eastAsia="仿宋_GB2312"/>
          <w:sz w:val="32"/>
          <w:szCs w:val="32"/>
        </w:rPr>
        <w:t>指单位为职工缴纳的住房公积金支出。</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Style w:val="11"/>
          <w:rFonts w:hint="eastAsia" w:ascii="黑体" w:eastAsia="黑体"/>
          <w:b w:val="0"/>
          <w:color w:val="000000"/>
          <w:sz w:val="32"/>
          <w:szCs w:val="32"/>
          <w:highlight w:val="none"/>
          <w:lang w:eastAsia="zh-CN"/>
        </w:rPr>
      </w:pPr>
      <w:r>
        <w:rPr>
          <w:rStyle w:val="11"/>
          <w:rFonts w:hint="eastAsia" w:ascii="黑体" w:eastAsia="黑体"/>
          <w:b w:val="0"/>
          <w:color w:val="000000"/>
          <w:sz w:val="32"/>
          <w:szCs w:val="32"/>
          <w:highlight w:val="none"/>
          <w:lang w:eastAsia="zh-CN"/>
        </w:rPr>
        <w:t>四、</w:t>
      </w:r>
      <w:r>
        <w:rPr>
          <w:rStyle w:val="11"/>
          <w:rFonts w:hint="eastAsia" w:ascii="黑体" w:eastAsia="黑体"/>
          <w:b w:val="0"/>
          <w:color w:val="000000"/>
          <w:sz w:val="32"/>
          <w:szCs w:val="32"/>
          <w:highlight w:val="none"/>
          <w:lang w:val="en-US" w:eastAsia="zh-CN"/>
        </w:rPr>
        <w:t>2022</w:t>
      </w:r>
      <w:r>
        <w:rPr>
          <w:rStyle w:val="11"/>
          <w:rFonts w:hint="eastAsia" w:ascii="黑体" w:eastAsia="黑体"/>
          <w:b w:val="0"/>
          <w:color w:val="000000"/>
          <w:sz w:val="32"/>
          <w:szCs w:val="32"/>
          <w:highlight w:val="none"/>
        </w:rPr>
        <w:t>年</w:t>
      </w:r>
      <w:r>
        <w:rPr>
          <w:rStyle w:val="11"/>
          <w:rFonts w:hint="eastAsia" w:ascii="黑体" w:eastAsia="黑体"/>
          <w:b w:val="0"/>
          <w:color w:val="000000"/>
          <w:sz w:val="32"/>
          <w:szCs w:val="32"/>
          <w:highlight w:val="none"/>
          <w:lang w:eastAsia="zh-CN"/>
        </w:rPr>
        <w:t>莲都区人民法院审判保障服务中心单位预算表（详见附表）</w:t>
      </w:r>
    </w:p>
    <w:p>
      <w:pPr>
        <w:pStyle w:val="2"/>
        <w:rPr>
          <w:rFonts w:hint="default"/>
          <w:bCs/>
          <w:sz w:val="30"/>
          <w:szCs w:val="30"/>
        </w:rPr>
      </w:pPr>
    </w:p>
    <w:sectPr>
      <w:footerReference r:id="rId3" w:type="default"/>
      <w:pgSz w:w="11906" w:h="16838"/>
      <w:pgMar w:top="1440" w:right="1800" w:bottom="1440" w:left="1800" w:header="851" w:footer="992" w:gutter="0"/>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07B210"/>
    <w:multiLevelType w:val="singleLevel"/>
    <w:tmpl w:val="F607B210"/>
    <w:lvl w:ilvl="0" w:tentative="0">
      <w:start w:val="1"/>
      <w:numFmt w:val="chineseCounting"/>
      <w:suff w:val="nothing"/>
      <w:lvlText w:val="%1、"/>
      <w:lvlJc w:val="left"/>
      <w:rPr>
        <w:rFonts w:hint="eastAsia"/>
      </w:rPr>
    </w:lvl>
  </w:abstractNum>
  <w:abstractNum w:abstractNumId="1">
    <w:nsid w:val="0D01101F"/>
    <w:multiLevelType w:val="singleLevel"/>
    <w:tmpl w:val="0D01101F"/>
    <w:lvl w:ilvl="0" w:tentative="0">
      <w:start w:val="1"/>
      <w:numFmt w:val="chineseCounting"/>
      <w:suff w:val="nothing"/>
      <w:lvlText w:val="（%1）"/>
      <w:lvlJc w:val="left"/>
      <w:rPr>
        <w:rFonts w:hint="eastAsia"/>
      </w:rPr>
    </w:lvl>
  </w:abstractNum>
  <w:abstractNum w:abstractNumId="2">
    <w:nsid w:val="126BB86B"/>
    <w:multiLevelType w:val="singleLevel"/>
    <w:tmpl w:val="126BB86B"/>
    <w:lvl w:ilvl="0" w:tentative="0">
      <w:start w:val="8"/>
      <w:numFmt w:val="chineseCounting"/>
      <w:suff w:val="nothing"/>
      <w:lvlText w:val="（%1）"/>
      <w:lvlJc w:val="left"/>
      <w:rPr>
        <w:rFonts w:hint="eastAsia"/>
      </w:rPr>
    </w:lvl>
  </w:abstractNum>
  <w:abstractNum w:abstractNumId="3">
    <w:nsid w:val="5893F62F"/>
    <w:multiLevelType w:val="singleLevel"/>
    <w:tmpl w:val="5893F62F"/>
    <w:lvl w:ilvl="0" w:tentative="0">
      <w:start w:val="2"/>
      <w:numFmt w:val="decimal"/>
      <w:suff w:val="nothing"/>
      <w:lvlText w:val="%1."/>
      <w:lvlJc w:val="left"/>
    </w:lvl>
  </w:abstractNum>
  <w:abstractNum w:abstractNumId="4">
    <w:nsid w:val="5895A99C"/>
    <w:multiLevelType w:val="singleLevel"/>
    <w:tmpl w:val="5895A99C"/>
    <w:lvl w:ilvl="0" w:tentative="0">
      <w:start w:val="5"/>
      <w:numFmt w:val="chineseCounting"/>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3C"/>
    <w:rsid w:val="00037FBA"/>
    <w:rsid w:val="00084C3B"/>
    <w:rsid w:val="000F6704"/>
    <w:rsid w:val="0014553D"/>
    <w:rsid w:val="00151805"/>
    <w:rsid w:val="0018453C"/>
    <w:rsid w:val="0025199F"/>
    <w:rsid w:val="00262BFB"/>
    <w:rsid w:val="002E190E"/>
    <w:rsid w:val="00312421"/>
    <w:rsid w:val="0034320B"/>
    <w:rsid w:val="0035041B"/>
    <w:rsid w:val="003533AA"/>
    <w:rsid w:val="00372A55"/>
    <w:rsid w:val="003A54FF"/>
    <w:rsid w:val="004C1A7E"/>
    <w:rsid w:val="004F65D0"/>
    <w:rsid w:val="004F6D96"/>
    <w:rsid w:val="0054517F"/>
    <w:rsid w:val="0055355B"/>
    <w:rsid w:val="00576237"/>
    <w:rsid w:val="005E47B3"/>
    <w:rsid w:val="005E7D52"/>
    <w:rsid w:val="00655F61"/>
    <w:rsid w:val="006C39E2"/>
    <w:rsid w:val="006D5442"/>
    <w:rsid w:val="006D7FE3"/>
    <w:rsid w:val="006E085B"/>
    <w:rsid w:val="006F455E"/>
    <w:rsid w:val="007072D9"/>
    <w:rsid w:val="0073245A"/>
    <w:rsid w:val="007715EF"/>
    <w:rsid w:val="007A0C65"/>
    <w:rsid w:val="007B431F"/>
    <w:rsid w:val="007E4CC3"/>
    <w:rsid w:val="00801E01"/>
    <w:rsid w:val="00834DDF"/>
    <w:rsid w:val="00850DC9"/>
    <w:rsid w:val="0089440C"/>
    <w:rsid w:val="009415A1"/>
    <w:rsid w:val="009427F2"/>
    <w:rsid w:val="009A7459"/>
    <w:rsid w:val="009B71E7"/>
    <w:rsid w:val="00A76362"/>
    <w:rsid w:val="00A76C25"/>
    <w:rsid w:val="00A86842"/>
    <w:rsid w:val="00AB2741"/>
    <w:rsid w:val="00B109C2"/>
    <w:rsid w:val="00BA6311"/>
    <w:rsid w:val="00C35F38"/>
    <w:rsid w:val="00C47BB8"/>
    <w:rsid w:val="00C52D1F"/>
    <w:rsid w:val="00CE3F52"/>
    <w:rsid w:val="00D81B35"/>
    <w:rsid w:val="00DA6F5B"/>
    <w:rsid w:val="00DA7F84"/>
    <w:rsid w:val="00E20FB4"/>
    <w:rsid w:val="00E40834"/>
    <w:rsid w:val="00E429D8"/>
    <w:rsid w:val="00E44C58"/>
    <w:rsid w:val="00E925CD"/>
    <w:rsid w:val="00F23B56"/>
    <w:rsid w:val="00F56A05"/>
    <w:rsid w:val="00F7116F"/>
    <w:rsid w:val="01405C62"/>
    <w:rsid w:val="01F263DB"/>
    <w:rsid w:val="024C6702"/>
    <w:rsid w:val="026505B4"/>
    <w:rsid w:val="028630A1"/>
    <w:rsid w:val="02FD4879"/>
    <w:rsid w:val="03AA3E3B"/>
    <w:rsid w:val="03EA5C50"/>
    <w:rsid w:val="047A0826"/>
    <w:rsid w:val="05054F3D"/>
    <w:rsid w:val="05F46152"/>
    <w:rsid w:val="05F835B0"/>
    <w:rsid w:val="063B27DE"/>
    <w:rsid w:val="065E25EC"/>
    <w:rsid w:val="06835E42"/>
    <w:rsid w:val="07623DA7"/>
    <w:rsid w:val="08042708"/>
    <w:rsid w:val="080A7B9B"/>
    <w:rsid w:val="081119C7"/>
    <w:rsid w:val="08DE4DFD"/>
    <w:rsid w:val="09200CAD"/>
    <w:rsid w:val="09D1313D"/>
    <w:rsid w:val="0A1D1E06"/>
    <w:rsid w:val="0A2F30D0"/>
    <w:rsid w:val="0A4C7CCD"/>
    <w:rsid w:val="0B100DA5"/>
    <w:rsid w:val="0B486D9D"/>
    <w:rsid w:val="0B652DFD"/>
    <w:rsid w:val="0B6E145B"/>
    <w:rsid w:val="0BBA5F5F"/>
    <w:rsid w:val="0BD448F3"/>
    <w:rsid w:val="0BEA4143"/>
    <w:rsid w:val="0C140B8B"/>
    <w:rsid w:val="0C7B7749"/>
    <w:rsid w:val="0CAE2663"/>
    <w:rsid w:val="0CE2397A"/>
    <w:rsid w:val="0CEE5818"/>
    <w:rsid w:val="0D4D21FD"/>
    <w:rsid w:val="0D532937"/>
    <w:rsid w:val="0D791B02"/>
    <w:rsid w:val="0DDF3EA9"/>
    <w:rsid w:val="0E184220"/>
    <w:rsid w:val="0EA11801"/>
    <w:rsid w:val="0EB34609"/>
    <w:rsid w:val="0F0A0BC6"/>
    <w:rsid w:val="0F3E23E2"/>
    <w:rsid w:val="0F5C4EB1"/>
    <w:rsid w:val="0F760C96"/>
    <w:rsid w:val="106B2554"/>
    <w:rsid w:val="106D620C"/>
    <w:rsid w:val="1085571C"/>
    <w:rsid w:val="11615155"/>
    <w:rsid w:val="12970A77"/>
    <w:rsid w:val="12D300E7"/>
    <w:rsid w:val="13421BC6"/>
    <w:rsid w:val="13683BBC"/>
    <w:rsid w:val="136B79EF"/>
    <w:rsid w:val="13811EEE"/>
    <w:rsid w:val="13983CB7"/>
    <w:rsid w:val="13AE582F"/>
    <w:rsid w:val="13B37F03"/>
    <w:rsid w:val="14742377"/>
    <w:rsid w:val="14861683"/>
    <w:rsid w:val="14A40687"/>
    <w:rsid w:val="14EF3497"/>
    <w:rsid w:val="153C45B3"/>
    <w:rsid w:val="157947AC"/>
    <w:rsid w:val="15DB09EF"/>
    <w:rsid w:val="1650535C"/>
    <w:rsid w:val="17EC7FC1"/>
    <w:rsid w:val="17F81734"/>
    <w:rsid w:val="18EF3804"/>
    <w:rsid w:val="195C3A7E"/>
    <w:rsid w:val="1A2375F0"/>
    <w:rsid w:val="1ABD0878"/>
    <w:rsid w:val="1AC0275A"/>
    <w:rsid w:val="1AE500E3"/>
    <w:rsid w:val="1B1D1342"/>
    <w:rsid w:val="1B2A6629"/>
    <w:rsid w:val="1B8B675A"/>
    <w:rsid w:val="1C103D2D"/>
    <w:rsid w:val="1C1965EC"/>
    <w:rsid w:val="1C7701B9"/>
    <w:rsid w:val="1D451326"/>
    <w:rsid w:val="1D99665F"/>
    <w:rsid w:val="1DFD2CC4"/>
    <w:rsid w:val="1E621D9B"/>
    <w:rsid w:val="1E7D4AE1"/>
    <w:rsid w:val="1E945AB3"/>
    <w:rsid w:val="1EFB5835"/>
    <w:rsid w:val="205247F6"/>
    <w:rsid w:val="205F00D2"/>
    <w:rsid w:val="20C21B5F"/>
    <w:rsid w:val="20D8491F"/>
    <w:rsid w:val="217D79B3"/>
    <w:rsid w:val="219B3B12"/>
    <w:rsid w:val="21F8300E"/>
    <w:rsid w:val="220976DB"/>
    <w:rsid w:val="22CD4774"/>
    <w:rsid w:val="22D4227E"/>
    <w:rsid w:val="22FA27EC"/>
    <w:rsid w:val="230477A4"/>
    <w:rsid w:val="234550B7"/>
    <w:rsid w:val="2384696C"/>
    <w:rsid w:val="23B968AE"/>
    <w:rsid w:val="240772FF"/>
    <w:rsid w:val="24183DF0"/>
    <w:rsid w:val="247778DD"/>
    <w:rsid w:val="247A77A8"/>
    <w:rsid w:val="24D6630F"/>
    <w:rsid w:val="24F84929"/>
    <w:rsid w:val="25014FB3"/>
    <w:rsid w:val="256F331D"/>
    <w:rsid w:val="257B35E8"/>
    <w:rsid w:val="257B506C"/>
    <w:rsid w:val="258D6580"/>
    <w:rsid w:val="25B24673"/>
    <w:rsid w:val="25DE1005"/>
    <w:rsid w:val="262F756E"/>
    <w:rsid w:val="26816946"/>
    <w:rsid w:val="26BE0144"/>
    <w:rsid w:val="26C53B12"/>
    <w:rsid w:val="26DB7398"/>
    <w:rsid w:val="2705728B"/>
    <w:rsid w:val="27417BF8"/>
    <w:rsid w:val="27693B45"/>
    <w:rsid w:val="283A129B"/>
    <w:rsid w:val="28B801B2"/>
    <w:rsid w:val="29954B63"/>
    <w:rsid w:val="29C468F6"/>
    <w:rsid w:val="29DF16A7"/>
    <w:rsid w:val="29F74F67"/>
    <w:rsid w:val="2A3D65FF"/>
    <w:rsid w:val="2A484907"/>
    <w:rsid w:val="2B755902"/>
    <w:rsid w:val="2BA81833"/>
    <w:rsid w:val="2BAC3F70"/>
    <w:rsid w:val="2C56166B"/>
    <w:rsid w:val="2C5D4134"/>
    <w:rsid w:val="2C772798"/>
    <w:rsid w:val="2CE33635"/>
    <w:rsid w:val="2CF01E06"/>
    <w:rsid w:val="2D2A48F8"/>
    <w:rsid w:val="2D391980"/>
    <w:rsid w:val="2D7C6F9A"/>
    <w:rsid w:val="2DF53131"/>
    <w:rsid w:val="2E0A49D5"/>
    <w:rsid w:val="2EC377A2"/>
    <w:rsid w:val="2ED263DE"/>
    <w:rsid w:val="2F312BD6"/>
    <w:rsid w:val="2F4F315F"/>
    <w:rsid w:val="2F5260FE"/>
    <w:rsid w:val="30780EC9"/>
    <w:rsid w:val="30DF21A8"/>
    <w:rsid w:val="310D3FFC"/>
    <w:rsid w:val="31651329"/>
    <w:rsid w:val="31C46552"/>
    <w:rsid w:val="31EC7268"/>
    <w:rsid w:val="32691E0F"/>
    <w:rsid w:val="33722AF4"/>
    <w:rsid w:val="339F6CDD"/>
    <w:rsid w:val="34F20284"/>
    <w:rsid w:val="35A3476F"/>
    <w:rsid w:val="35BF3FB8"/>
    <w:rsid w:val="3619346A"/>
    <w:rsid w:val="36B43230"/>
    <w:rsid w:val="37334590"/>
    <w:rsid w:val="378253F7"/>
    <w:rsid w:val="37DD34EA"/>
    <w:rsid w:val="3859649B"/>
    <w:rsid w:val="386D2696"/>
    <w:rsid w:val="38EE6FCD"/>
    <w:rsid w:val="39227B1B"/>
    <w:rsid w:val="39406911"/>
    <w:rsid w:val="39850296"/>
    <w:rsid w:val="39C26750"/>
    <w:rsid w:val="3A147047"/>
    <w:rsid w:val="3A7F1D43"/>
    <w:rsid w:val="3A8D223E"/>
    <w:rsid w:val="3B1860BB"/>
    <w:rsid w:val="3B2529F1"/>
    <w:rsid w:val="3B291386"/>
    <w:rsid w:val="3B2C4A57"/>
    <w:rsid w:val="3B563038"/>
    <w:rsid w:val="3B80307E"/>
    <w:rsid w:val="3BCA7BD7"/>
    <w:rsid w:val="3C6C37E2"/>
    <w:rsid w:val="3C7D1C3F"/>
    <w:rsid w:val="3CFD6A0C"/>
    <w:rsid w:val="3DC61485"/>
    <w:rsid w:val="3DDA1E4D"/>
    <w:rsid w:val="3DE54E5F"/>
    <w:rsid w:val="3F1A1DBF"/>
    <w:rsid w:val="400943B7"/>
    <w:rsid w:val="40143523"/>
    <w:rsid w:val="404C00D9"/>
    <w:rsid w:val="406B2735"/>
    <w:rsid w:val="409457E2"/>
    <w:rsid w:val="4171469C"/>
    <w:rsid w:val="42723EBF"/>
    <w:rsid w:val="4298764D"/>
    <w:rsid w:val="42C349B9"/>
    <w:rsid w:val="42C454C8"/>
    <w:rsid w:val="42CF52ED"/>
    <w:rsid w:val="43143C91"/>
    <w:rsid w:val="43482ADF"/>
    <w:rsid w:val="43497E11"/>
    <w:rsid w:val="43796BAD"/>
    <w:rsid w:val="438C52D1"/>
    <w:rsid w:val="43AF1DC7"/>
    <w:rsid w:val="442360D8"/>
    <w:rsid w:val="450B3104"/>
    <w:rsid w:val="45374F70"/>
    <w:rsid w:val="45E922E2"/>
    <w:rsid w:val="46181B9F"/>
    <w:rsid w:val="46461BAD"/>
    <w:rsid w:val="46733D91"/>
    <w:rsid w:val="46B73DB3"/>
    <w:rsid w:val="46B85A12"/>
    <w:rsid w:val="46C20ABF"/>
    <w:rsid w:val="471C5409"/>
    <w:rsid w:val="475E76EE"/>
    <w:rsid w:val="47783860"/>
    <w:rsid w:val="479D2B04"/>
    <w:rsid w:val="47B54AE2"/>
    <w:rsid w:val="47B83E66"/>
    <w:rsid w:val="484652C3"/>
    <w:rsid w:val="489E735B"/>
    <w:rsid w:val="48EF215B"/>
    <w:rsid w:val="49547ADE"/>
    <w:rsid w:val="499358EA"/>
    <w:rsid w:val="4A9518DB"/>
    <w:rsid w:val="4AB935E6"/>
    <w:rsid w:val="4B1F601E"/>
    <w:rsid w:val="4B65339C"/>
    <w:rsid w:val="4B662EF7"/>
    <w:rsid w:val="4BD10D3A"/>
    <w:rsid w:val="4BE2220E"/>
    <w:rsid w:val="4CBF2857"/>
    <w:rsid w:val="4D097364"/>
    <w:rsid w:val="4D7808AB"/>
    <w:rsid w:val="4DC87963"/>
    <w:rsid w:val="4DF94F90"/>
    <w:rsid w:val="4E0339D7"/>
    <w:rsid w:val="4E0626FD"/>
    <w:rsid w:val="4E471526"/>
    <w:rsid w:val="4EB81AE1"/>
    <w:rsid w:val="4EED2017"/>
    <w:rsid w:val="4F2E2211"/>
    <w:rsid w:val="4F3D670A"/>
    <w:rsid w:val="4F4E78CD"/>
    <w:rsid w:val="4FA62E1E"/>
    <w:rsid w:val="4FC809F8"/>
    <w:rsid w:val="4FE85961"/>
    <w:rsid w:val="501333DF"/>
    <w:rsid w:val="50341189"/>
    <w:rsid w:val="504B6DCC"/>
    <w:rsid w:val="504F2AE8"/>
    <w:rsid w:val="50837233"/>
    <w:rsid w:val="514C5668"/>
    <w:rsid w:val="51510CFA"/>
    <w:rsid w:val="51513799"/>
    <w:rsid w:val="518C29B6"/>
    <w:rsid w:val="52170DB7"/>
    <w:rsid w:val="525C4C55"/>
    <w:rsid w:val="527B0739"/>
    <w:rsid w:val="527C727E"/>
    <w:rsid w:val="52AA23A8"/>
    <w:rsid w:val="52B7187A"/>
    <w:rsid w:val="53384BE5"/>
    <w:rsid w:val="53A5465B"/>
    <w:rsid w:val="53B6028C"/>
    <w:rsid w:val="541D4E44"/>
    <w:rsid w:val="54392B16"/>
    <w:rsid w:val="54442E65"/>
    <w:rsid w:val="545B2AA1"/>
    <w:rsid w:val="549B5701"/>
    <w:rsid w:val="54A9277D"/>
    <w:rsid w:val="54AB2964"/>
    <w:rsid w:val="55182E77"/>
    <w:rsid w:val="55292304"/>
    <w:rsid w:val="553F16B7"/>
    <w:rsid w:val="558856A9"/>
    <w:rsid w:val="55CA2A9E"/>
    <w:rsid w:val="55E50F1B"/>
    <w:rsid w:val="563E44AB"/>
    <w:rsid w:val="56565EF8"/>
    <w:rsid w:val="565F6886"/>
    <w:rsid w:val="56BC237C"/>
    <w:rsid w:val="56CD4B4D"/>
    <w:rsid w:val="56DF41B2"/>
    <w:rsid w:val="57224472"/>
    <w:rsid w:val="5798381B"/>
    <w:rsid w:val="57F759F2"/>
    <w:rsid w:val="5851081C"/>
    <w:rsid w:val="585447AE"/>
    <w:rsid w:val="58870795"/>
    <w:rsid w:val="58CE2824"/>
    <w:rsid w:val="58EC4DE1"/>
    <w:rsid w:val="59B44B1E"/>
    <w:rsid w:val="59EC6E24"/>
    <w:rsid w:val="5A0B2520"/>
    <w:rsid w:val="5A186813"/>
    <w:rsid w:val="5A3B2376"/>
    <w:rsid w:val="5A3D6736"/>
    <w:rsid w:val="5A40591F"/>
    <w:rsid w:val="5A6F0692"/>
    <w:rsid w:val="5ABF2E42"/>
    <w:rsid w:val="5B586398"/>
    <w:rsid w:val="5B7A7E97"/>
    <w:rsid w:val="5B916903"/>
    <w:rsid w:val="5BEF472E"/>
    <w:rsid w:val="5C932202"/>
    <w:rsid w:val="5CC87E6F"/>
    <w:rsid w:val="5CD10B23"/>
    <w:rsid w:val="5CD918EA"/>
    <w:rsid w:val="5CDB2DA2"/>
    <w:rsid w:val="5D247D3D"/>
    <w:rsid w:val="5D876599"/>
    <w:rsid w:val="5D9973DC"/>
    <w:rsid w:val="5DAE1AC9"/>
    <w:rsid w:val="5E153AF5"/>
    <w:rsid w:val="5E906056"/>
    <w:rsid w:val="5F0E1E7F"/>
    <w:rsid w:val="5F112305"/>
    <w:rsid w:val="5F2767B3"/>
    <w:rsid w:val="5FD50BE8"/>
    <w:rsid w:val="5FE31F70"/>
    <w:rsid w:val="60045498"/>
    <w:rsid w:val="610A28CF"/>
    <w:rsid w:val="613F74C3"/>
    <w:rsid w:val="614C1844"/>
    <w:rsid w:val="617A6C2D"/>
    <w:rsid w:val="618968F0"/>
    <w:rsid w:val="619E6355"/>
    <w:rsid w:val="61BD64DA"/>
    <w:rsid w:val="6215384D"/>
    <w:rsid w:val="62AC06BC"/>
    <w:rsid w:val="633B4987"/>
    <w:rsid w:val="63525D55"/>
    <w:rsid w:val="63816D50"/>
    <w:rsid w:val="63F321C7"/>
    <w:rsid w:val="64C20A08"/>
    <w:rsid w:val="64F06443"/>
    <w:rsid w:val="65737FB9"/>
    <w:rsid w:val="65986DB7"/>
    <w:rsid w:val="65DF5ECF"/>
    <w:rsid w:val="66845258"/>
    <w:rsid w:val="66A662C4"/>
    <w:rsid w:val="66A749B5"/>
    <w:rsid w:val="66C85F64"/>
    <w:rsid w:val="66FA225C"/>
    <w:rsid w:val="67222B8A"/>
    <w:rsid w:val="679D182D"/>
    <w:rsid w:val="67BB6396"/>
    <w:rsid w:val="67F342C7"/>
    <w:rsid w:val="6819064E"/>
    <w:rsid w:val="687B5327"/>
    <w:rsid w:val="688621C1"/>
    <w:rsid w:val="68C15BDE"/>
    <w:rsid w:val="69294D53"/>
    <w:rsid w:val="69D47348"/>
    <w:rsid w:val="6A825133"/>
    <w:rsid w:val="6AD23ACD"/>
    <w:rsid w:val="6AE706B2"/>
    <w:rsid w:val="6AED58FA"/>
    <w:rsid w:val="6B315A81"/>
    <w:rsid w:val="6B561ACE"/>
    <w:rsid w:val="6B843A11"/>
    <w:rsid w:val="6BDC6C3A"/>
    <w:rsid w:val="6BED5091"/>
    <w:rsid w:val="6C3F4637"/>
    <w:rsid w:val="6C9D07C7"/>
    <w:rsid w:val="6CB426A8"/>
    <w:rsid w:val="6D1C5385"/>
    <w:rsid w:val="6D3835CD"/>
    <w:rsid w:val="6D413DE6"/>
    <w:rsid w:val="6D7466D0"/>
    <w:rsid w:val="6DDF18A8"/>
    <w:rsid w:val="6E6B7F03"/>
    <w:rsid w:val="6E7742D5"/>
    <w:rsid w:val="6E947A29"/>
    <w:rsid w:val="6EFB1E55"/>
    <w:rsid w:val="6FD0008D"/>
    <w:rsid w:val="701E0D35"/>
    <w:rsid w:val="717A54B6"/>
    <w:rsid w:val="71E47115"/>
    <w:rsid w:val="71F83852"/>
    <w:rsid w:val="72124418"/>
    <w:rsid w:val="72BF52A3"/>
    <w:rsid w:val="72DE512C"/>
    <w:rsid w:val="73520170"/>
    <w:rsid w:val="735C66EB"/>
    <w:rsid w:val="73B32D5B"/>
    <w:rsid w:val="74BF19C8"/>
    <w:rsid w:val="75127B2A"/>
    <w:rsid w:val="753A08ED"/>
    <w:rsid w:val="756B70AB"/>
    <w:rsid w:val="75867648"/>
    <w:rsid w:val="762D45E7"/>
    <w:rsid w:val="76432C97"/>
    <w:rsid w:val="76472E5B"/>
    <w:rsid w:val="772E12F9"/>
    <w:rsid w:val="773F1B2E"/>
    <w:rsid w:val="7750779D"/>
    <w:rsid w:val="776141C0"/>
    <w:rsid w:val="77E71EE7"/>
    <w:rsid w:val="78403651"/>
    <w:rsid w:val="784051C1"/>
    <w:rsid w:val="789E16E5"/>
    <w:rsid w:val="78DB0F74"/>
    <w:rsid w:val="78DB40C6"/>
    <w:rsid w:val="78DD57F7"/>
    <w:rsid w:val="78E82C7D"/>
    <w:rsid w:val="79392CAE"/>
    <w:rsid w:val="7954401D"/>
    <w:rsid w:val="79547EF1"/>
    <w:rsid w:val="79A24C96"/>
    <w:rsid w:val="7AE80A7B"/>
    <w:rsid w:val="7B242AA6"/>
    <w:rsid w:val="7B5E14E4"/>
    <w:rsid w:val="7B741965"/>
    <w:rsid w:val="7BBF78B4"/>
    <w:rsid w:val="7BFE30BC"/>
    <w:rsid w:val="7C0A7BF1"/>
    <w:rsid w:val="7C4213C3"/>
    <w:rsid w:val="7C4D67CC"/>
    <w:rsid w:val="7C9904D7"/>
    <w:rsid w:val="7CD24C07"/>
    <w:rsid w:val="7CDD0037"/>
    <w:rsid w:val="7D8F4D87"/>
    <w:rsid w:val="7DBB66FE"/>
    <w:rsid w:val="7DBE27C1"/>
    <w:rsid w:val="7DCA5F0F"/>
    <w:rsid w:val="7E1F736F"/>
    <w:rsid w:val="7E7D74C3"/>
    <w:rsid w:val="7EA76FD3"/>
    <w:rsid w:val="7EE93AD1"/>
    <w:rsid w:val="7F181FD0"/>
    <w:rsid w:val="7F7620F2"/>
    <w:rsid w:val="7F890EF0"/>
    <w:rsid w:val="7FA57776"/>
    <w:rsid w:val="7FC2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link w:val="10"/>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har"/>
    <w:basedOn w:val="1"/>
    <w:link w:val="9"/>
    <w:qFormat/>
    <w:uiPriority w:val="0"/>
  </w:style>
  <w:style w:type="character" w:styleId="11">
    <w:name w:val="Strong"/>
    <w:basedOn w:val="9"/>
    <w:qFormat/>
    <w:uiPriority w:val="0"/>
    <w:rPr>
      <w:b/>
      <w:bCs/>
    </w:rPr>
  </w:style>
  <w:style w:type="paragraph" w:customStyle="1" w:styleId="12">
    <w:name w:val=" Char"/>
    <w:basedOn w:val="1"/>
    <w:link w:val="9"/>
    <w:qFormat/>
    <w:uiPriority w:val="0"/>
    <w:rPr>
      <w:rFonts w:ascii="宋体" w:hAnsi="宋体" w:cs="Courier New"/>
      <w:sz w:val="32"/>
      <w:szCs w:val="32"/>
    </w:rPr>
  </w:style>
  <w:style w:type="character" w:customStyle="1" w:styleId="13">
    <w:name w:val="页眉 Char"/>
    <w:link w:val="5"/>
    <w:qFormat/>
    <w:uiPriority w:val="0"/>
    <w:rPr>
      <w:kern w:val="2"/>
      <w:sz w:val="18"/>
      <w:szCs w:val="18"/>
    </w:rPr>
  </w:style>
  <w:style w:type="character" w:customStyle="1" w:styleId="14">
    <w:name w:val="页脚 Char"/>
    <w:link w:val="4"/>
    <w:qFormat/>
    <w:uiPriority w:val="0"/>
    <w:rPr>
      <w:kern w:val="2"/>
      <w:sz w:val="18"/>
      <w:szCs w:val="18"/>
    </w:rPr>
  </w:style>
  <w:style w:type="paragraph" w:customStyle="1" w:styleId="15">
    <w:name w:val="[Normal]"/>
    <w:qFormat/>
    <w:uiPriority w:val="0"/>
    <w:rPr>
      <w:rFonts w:ascii="宋体" w:hAnsi="宋体" w:eastAsia="宋体" w:cs="Times New Roman"/>
      <w:sz w:val="24"/>
      <w:lang w:val="zh-CN" w:eastAsia="zh-CN" w:bidi="ar-SA"/>
    </w:r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xc</Company>
  <Pages>3</Pages>
  <Words>1038</Words>
  <Characters>1631</Characters>
  <Lines>13</Lines>
  <Paragraphs>5</Paragraphs>
  <TotalTime>28</TotalTime>
  <ScaleCrop>false</ScaleCrop>
  <LinksUpToDate>false</LinksUpToDate>
  <CharactersWithSpaces>2664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2020-01-06T08:45:00Z</dcterms:created>
  <dc:creator>dsx</dc:creator>
  <cp:lastModifiedBy>Administrator</cp:lastModifiedBy>
  <dcterms:modified xsi:type="dcterms:W3CDTF">2023-07-06T01:32:27Z</dcterms:modified>
  <dc:title>关于2019年部门预算的批复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EDOID">
    <vt:r8>5838458</vt:r8>
  </property>
  <property fmtid="{D5CDD505-2E9C-101B-9397-08002B2CF9AE}" pid="4" name="ICV">
    <vt:lpwstr>E7E435903E954F16B3A6550F30CE4D1E</vt:lpwstr>
  </property>
</Properties>
</file>