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pacing w:val="15"/>
          <w:sz w:val="32"/>
          <w:szCs w:val="32"/>
        </w:rPr>
      </w:pPr>
    </w:p>
    <w:p>
      <w:pPr>
        <w:spacing w:line="560" w:lineRule="exact"/>
        <w:jc w:val="center"/>
        <w:rPr>
          <w:rFonts w:ascii="方正小标宋简体" w:hAnsi="方正小标宋简体" w:eastAsia="方正小标宋简体" w:cs="方正小标宋简体"/>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r>
        <w:rPr>
          <w:rFonts w:ascii="方正小标宋简体" w:hAnsi="方正小标宋简体" w:eastAsia="方正小标宋简体" w:cs="方正小标宋简体"/>
          <w:bCs/>
          <w:spacing w:val="15"/>
          <w:sz w:val="44"/>
          <w:szCs w:val="44"/>
        </w:rPr>
        <w:t>丽水市莲都区人民法院审判保障服务中心</w:t>
      </w:r>
      <w:r>
        <w:rPr>
          <w:rFonts w:hint="eastAsia" w:ascii="方正小标宋简体" w:hAnsi="方正小标宋简体" w:eastAsia="方正小标宋简体" w:cs="方正小标宋简体"/>
          <w:bCs/>
          <w:spacing w:val="15"/>
          <w:sz w:val="44"/>
          <w:szCs w:val="44"/>
        </w:rPr>
        <w:t>2024年单位预算</w:t>
      </w:r>
    </w:p>
    <w:p>
      <w:pPr>
        <w:spacing w:line="560" w:lineRule="exact"/>
        <w:ind w:firstLine="590" w:firstLineChars="196"/>
        <w:rPr>
          <w:rStyle w:val="10"/>
          <w:color w:val="000000"/>
          <w:sz w:val="30"/>
          <w:szCs w:val="30"/>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r>
        <w:rPr>
          <w:rStyle w:val="10"/>
          <w:rFonts w:hint="eastAsia" w:ascii="黑体" w:eastAsia="黑体"/>
          <w:b w:val="0"/>
          <w:color w:val="000000"/>
          <w:sz w:val="32"/>
          <w:szCs w:val="32"/>
        </w:rPr>
        <w:t>目录</w:t>
      </w:r>
    </w:p>
    <w:p>
      <w:pPr>
        <w:spacing w:line="520" w:lineRule="exact"/>
        <w:rPr>
          <w:rFonts w:eastAsia="黑体"/>
          <w:sz w:val="32"/>
        </w:rPr>
      </w:pPr>
      <w:r>
        <w:rPr>
          <w:rFonts w:hint="eastAsia" w:ascii="黑体" w:eastAsia="黑体"/>
          <w:color w:val="000000"/>
          <w:sz w:val="32"/>
          <w:highlight w:val="white"/>
        </w:rPr>
        <w:t>一、单位</w:t>
      </w:r>
      <w:r>
        <w:rPr>
          <w:rStyle w:val="10"/>
          <w:rFonts w:hint="eastAsia" w:ascii="黑体" w:eastAsia="黑体"/>
          <w:b w:val="0"/>
          <w:color w:val="000000"/>
          <w:sz w:val="32"/>
          <w:szCs w:val="32"/>
        </w:rPr>
        <w:t>概况</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pPr>
        <w:spacing w:line="520" w:lineRule="exact"/>
        <w:rPr>
          <w:rStyle w:val="10"/>
          <w:rFonts w:ascii="黑体" w:eastAsia="黑体"/>
          <w:b w:val="0"/>
          <w:color w:val="000000"/>
          <w:sz w:val="32"/>
          <w:szCs w:val="32"/>
        </w:rPr>
      </w:pPr>
      <w:r>
        <w:rPr>
          <w:rStyle w:val="10"/>
          <w:rFonts w:hint="eastAsia" w:ascii="黑体" w:eastAsia="黑体"/>
          <w:b w:val="0"/>
          <w:color w:val="000000"/>
          <w:sz w:val="32"/>
          <w:szCs w:val="32"/>
        </w:rPr>
        <w:t>二、2024年丽水市莲都区人民法院审判保障服务中心单位预算安排情况说明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（一）关于丽水市莲都区人民法院审判保障服务中心2024年收支预算情况的总体说明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（二）关于丽水市莲都区人民法院审判保障服务中心2024年收入预算情况说明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（三）关于丽水市莲都区人民法院审判保障服务中心2024年支出预算情况说明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（四）关于丽水市莲都区人民法院审判保障服务中心2024年财政拨款收支预算情况的总体说明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（五）关于丽水市莲都区人民法院审判保障服务中心2024年一般公共预算拨款情况说明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（六）关于丽水市莲都区人民法院审判保障服务中心2024年一般公共预算基本支出情况说明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（七）关于丽水市莲都区人民法院审判保障服务中心2024年政府性基金预算支出情况说明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（八）关于丽水市莲都区人民法院审判保障服务中心2024年国有资本经营预算支出情况说明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（九）关于丽水市莲都区人民法院审判保障服务中心2024年一般公共预算“三公”经费预算情况说明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pPr>
        <w:pStyle w:val="15"/>
        <w:spacing w:line="520" w:lineRule="exact"/>
        <w:rPr>
          <w:rStyle w:val="10"/>
          <w:rFonts w:ascii="黑体" w:hAnsi="Calibri" w:eastAsia="黑体"/>
          <w:b w:val="0"/>
          <w:color w:val="000000"/>
          <w:kern w:val="2"/>
          <w:sz w:val="32"/>
          <w:szCs w:val="32"/>
        </w:rPr>
      </w:pPr>
      <w:r>
        <w:rPr>
          <w:rStyle w:val="10"/>
          <w:rFonts w:hint="eastAsia" w:ascii="黑体" w:hAnsi="Calibri" w:eastAsia="黑体"/>
          <w:b w:val="0"/>
          <w:color w:val="000000"/>
          <w:kern w:val="2"/>
          <w:sz w:val="32"/>
          <w:szCs w:val="32"/>
        </w:rPr>
        <w:t>三、名词解释</w:t>
      </w:r>
    </w:p>
    <w:p>
      <w:pPr>
        <w:spacing w:line="520" w:lineRule="exact"/>
        <w:rPr>
          <w:rStyle w:val="10"/>
          <w:rFonts w:ascii="黑体" w:eastAsia="黑体"/>
          <w:b w:val="0"/>
          <w:color w:val="000000"/>
          <w:sz w:val="32"/>
          <w:szCs w:val="32"/>
        </w:rPr>
      </w:pPr>
      <w:r>
        <w:rPr>
          <w:rStyle w:val="10"/>
          <w:rFonts w:hint="eastAsia" w:ascii="黑体" w:eastAsia="黑体"/>
          <w:b w:val="0"/>
          <w:color w:val="000000"/>
          <w:sz w:val="32"/>
          <w:szCs w:val="32"/>
        </w:rPr>
        <w:t>四、2024年丽水市莲都区人民法院审判保障服务中心单位预算表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（一）2024年单位收支预算总表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（二）2024年单位收入预算总表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（三）2024年单位支出预算总表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（四）2024年单位财政拨款收支预算总表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（五）2024年单位一般公共预算支出表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（六）2024年单位一般公共预算基本支出表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（七）2024年单位一般公共预算“三公”经费支出表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（八）2024年单位政府性基金预算支出表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（九）2024年单位国有资本经营预算支出表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（十）2024年单位项目支出预算表</w:t>
      </w:r>
    </w:p>
    <w:p>
      <w:pPr>
        <w:autoSpaceDE w:val="0"/>
        <w:autoSpaceDN w:val="0"/>
        <w:adjustRightInd w:val="0"/>
        <w:ind w:left="420" w:leftChars="200"/>
        <w:jc w:val="left"/>
        <w:rPr>
          <w:rStyle w:val="10"/>
          <w:rFonts w:ascii="楷体_GB2312" w:hAnsi="楷体_GB2312" w:eastAsia="楷体_GB2312" w:cs="楷体_GB2312"/>
          <w:b w:val="0"/>
          <w:sz w:val="32"/>
          <w:szCs w:val="32"/>
        </w:rPr>
      </w:pPr>
      <w:r>
        <w:rPr>
          <w:rFonts w:hint="eastAsia" w:ascii="楷体_GB2312" w:hAnsi="楷体_GB2312" w:eastAsia="楷体_GB2312" w:cs="楷体_GB2312"/>
          <w:bCs/>
          <w:sz w:val="32"/>
          <w:szCs w:val="32"/>
        </w:rPr>
        <w:t>（十一）2024年单位项目支出绩效表</w:t>
      </w: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tabs>
          <w:tab w:val="left" w:pos="2608"/>
        </w:tabs>
        <w:rPr>
          <w:rStyle w:val="10"/>
          <w:rFonts w:hint="default" w:ascii="黑体" w:eastAsia="黑体"/>
          <w:b w:val="0"/>
          <w:sz w:val="32"/>
          <w:szCs w:val="32"/>
        </w:rPr>
      </w:pPr>
    </w:p>
    <w:p>
      <w:pPr>
        <w:spacing w:line="520" w:lineRule="exact"/>
        <w:ind w:firstLine="627" w:firstLineChars="196"/>
        <w:rPr>
          <w:rStyle w:val="10"/>
          <w:rFonts w:ascii="黑体" w:eastAsia="黑体"/>
          <w:b w:val="0"/>
          <w:color w:val="000000"/>
          <w:sz w:val="32"/>
          <w:szCs w:val="32"/>
        </w:rPr>
      </w:pPr>
      <w:r>
        <w:rPr>
          <w:rStyle w:val="10"/>
          <w:rFonts w:hint="eastAsia" w:ascii="黑体" w:eastAsia="黑体"/>
          <w:b w:val="0"/>
          <w:color w:val="000000"/>
          <w:sz w:val="32"/>
          <w:szCs w:val="32"/>
        </w:rPr>
        <w:t>一、单位概况</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snapToGrid w:val="0"/>
        <w:spacing w:line="540" w:lineRule="exact"/>
        <w:ind w:firstLine="640" w:firstLineChars="200"/>
        <w:rPr>
          <w:rFonts w:ascii="仿宋_GB2312" w:eastAsia="仿宋_GB2312"/>
          <w:bCs/>
          <w:sz w:val="32"/>
          <w:szCs w:val="32"/>
        </w:rPr>
      </w:pPr>
      <w:r>
        <w:rPr>
          <w:rFonts w:hint="eastAsia" w:ascii="仿宋_GB2312" w:eastAsia="仿宋_GB2312"/>
          <w:bCs/>
          <w:sz w:val="32"/>
          <w:szCs w:val="32"/>
        </w:rPr>
        <w:t>履行审判辅助职能，承担本院的文印、庭审速录、公务用车、计算机管理与维护、大楼物业、食堂管理等辅助性、事务性、服务性后勤工作。</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pPr>
        <w:pStyle w:val="6"/>
        <w:keepNext w:val="0"/>
        <w:keepLines w:val="0"/>
        <w:widowControl/>
        <w:suppressLineNumbers w:val="0"/>
        <w:spacing w:line="555" w:lineRule="atLeast"/>
        <w:ind w:left="0" w:firstLine="630"/>
        <w:rPr>
          <w:rFonts w:hint="eastAsia" w:ascii="仿宋_GB2312" w:hAnsi="Times New Roman" w:eastAsia="仿宋_GB2312" w:cs="Times New Roman"/>
          <w:bCs/>
          <w:kern w:val="2"/>
          <w:sz w:val="32"/>
          <w:szCs w:val="32"/>
          <w:lang w:val="en-US" w:eastAsia="zh-CN" w:bidi="ar-SA"/>
        </w:rPr>
      </w:pPr>
      <w:r>
        <w:rPr>
          <w:rFonts w:hint="eastAsia" w:ascii="仿宋_GB2312" w:eastAsia="仿宋_GB2312" w:cs="Times New Roman"/>
          <w:bCs/>
          <w:kern w:val="2"/>
          <w:sz w:val="32"/>
          <w:szCs w:val="32"/>
          <w:lang w:val="en-US" w:eastAsia="zh-CN" w:bidi="ar-SA"/>
        </w:rPr>
        <w:t>从预算单位构成看，</w:t>
      </w:r>
      <w:r>
        <w:rPr>
          <w:rFonts w:hint="eastAsia" w:ascii="仿宋_GB2312" w:hAnsi="Times New Roman" w:eastAsia="仿宋_GB2312" w:cs="Times New Roman"/>
          <w:bCs/>
          <w:kern w:val="2"/>
          <w:sz w:val="32"/>
          <w:szCs w:val="32"/>
          <w:lang w:val="en-US" w:eastAsia="zh-CN" w:bidi="ar-SA"/>
        </w:rPr>
        <w:t>莲都区</w:t>
      </w:r>
      <w:r>
        <w:rPr>
          <w:rFonts w:hint="eastAsia" w:ascii="仿宋_GB2312" w:eastAsia="仿宋_GB2312" w:cs="Times New Roman"/>
          <w:bCs/>
          <w:kern w:val="2"/>
          <w:sz w:val="32"/>
          <w:szCs w:val="32"/>
          <w:lang w:val="en-US" w:eastAsia="zh-CN" w:bidi="ar-SA"/>
        </w:rPr>
        <w:t>人民</w:t>
      </w:r>
      <w:r>
        <w:rPr>
          <w:rFonts w:hint="eastAsia" w:ascii="仿宋_GB2312" w:hAnsi="Times New Roman" w:eastAsia="仿宋_GB2312" w:cs="Times New Roman"/>
          <w:bCs/>
          <w:kern w:val="2"/>
          <w:sz w:val="32"/>
          <w:szCs w:val="32"/>
          <w:lang w:val="en-US" w:eastAsia="zh-CN" w:bidi="ar-SA"/>
        </w:rPr>
        <w:t>法院审判保障服务中心</w:t>
      </w:r>
      <w:r>
        <w:rPr>
          <w:rFonts w:hint="eastAsia" w:ascii="仿宋_GB2312" w:eastAsia="仿宋_GB2312" w:cs="Times New Roman"/>
          <w:bCs/>
          <w:kern w:val="2"/>
          <w:sz w:val="32"/>
          <w:szCs w:val="32"/>
          <w:lang w:val="en-US" w:eastAsia="zh-CN" w:bidi="ar-SA"/>
        </w:rPr>
        <w:t>单位预算包括：审判保障服务中心本级预算</w:t>
      </w:r>
      <w:r>
        <w:rPr>
          <w:rFonts w:hint="eastAsia" w:ascii="仿宋_GB2312" w:hAnsi="Times New Roman" w:eastAsia="仿宋_GB2312" w:cs="Times New Roman"/>
          <w:bCs/>
          <w:kern w:val="2"/>
          <w:sz w:val="32"/>
          <w:szCs w:val="32"/>
          <w:lang w:val="en-US" w:eastAsia="zh-CN" w:bidi="ar-SA"/>
        </w:rPr>
        <w:t>。</w:t>
      </w:r>
    </w:p>
    <w:p>
      <w:pPr>
        <w:spacing w:line="520" w:lineRule="exact"/>
        <w:ind w:firstLine="640" w:firstLineChars="200"/>
        <w:rPr>
          <w:rFonts w:ascii="楷体_GB2312" w:hAnsi="楷体_GB2312" w:eastAsia="楷体_GB2312" w:cs="楷体_GB2312"/>
          <w:color w:val="000000"/>
          <w:sz w:val="32"/>
          <w:szCs w:val="32"/>
        </w:rPr>
      </w:pPr>
      <w:r>
        <w:rPr>
          <w:rStyle w:val="10"/>
          <w:rFonts w:hint="eastAsia" w:ascii="黑体" w:eastAsia="黑体"/>
          <w:b w:val="0"/>
          <w:color w:val="000000"/>
          <w:sz w:val="32"/>
          <w:szCs w:val="32"/>
        </w:rPr>
        <w:t>二、2024年丽水市莲都区人民法院审判保障服务中心单位预算安排情况说明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（一）关于丽水市莲都区人民法院审判保障服务中心</w:t>
      </w:r>
      <w:r>
        <w:rPr>
          <w:rStyle w:val="10"/>
          <w:rFonts w:hint="eastAsia" w:ascii="楷体_GB2312" w:hAnsi="楷体_GB2312" w:eastAsia="楷体_GB2312" w:cs="楷体_GB2312"/>
          <w:b w:val="0"/>
          <w:bCs w:val="0"/>
          <w:color w:val="000000"/>
          <w:sz w:val="32"/>
          <w:szCs w:val="32"/>
        </w:rPr>
        <w:t>2024年收支预算情况的总体说明</w:t>
      </w:r>
    </w:p>
    <w:p>
      <w:pPr>
        <w:spacing w:line="520" w:lineRule="exact"/>
        <w:rPr>
          <w:rFonts w:ascii="楷体_GB2312" w:hAnsi="楷体_GB2312" w:eastAsia="楷体_GB2312" w:cs="楷体_GB2312"/>
          <w:b/>
          <w:color w:val="000000"/>
          <w:sz w:val="32"/>
          <w:szCs w:val="32"/>
        </w:rPr>
      </w:pPr>
      <w:r>
        <w:rPr>
          <w:rFonts w:hint="eastAsia" w:ascii="仿宋_GB2312" w:eastAsia="仿宋_GB2312"/>
          <w:bCs/>
          <w:color w:val="000000"/>
          <w:sz w:val="32"/>
          <w:szCs w:val="32"/>
        </w:rPr>
        <w:t xml:space="preserve">    按照</w:t>
      </w:r>
      <w:r>
        <w:rPr>
          <w:rFonts w:hint="eastAsia" w:ascii="仿宋_GB2312" w:eastAsia="仿宋_GB2312"/>
          <w:bCs/>
          <w:sz w:val="32"/>
          <w:szCs w:val="32"/>
        </w:rPr>
        <w:t>综合预算的原则，丽水市莲都区人民法院审判保障服务中心</w:t>
      </w:r>
      <w:r>
        <w:rPr>
          <w:rFonts w:hint="eastAsia" w:ascii="仿宋_GB2312" w:eastAsia="仿宋_GB2312"/>
          <w:color w:val="000000"/>
          <w:sz w:val="32"/>
          <w:szCs w:val="32"/>
        </w:rPr>
        <w:t>所有收入和支出均纳入部门预算管理。收入包括：一般公共预算拨款收入；支出包括：公共安全支出、社会保障和就业支出、卫生健康支出、住房保障支出。丽水市莲都区人民法院审判保障服务中心2024年收支总预算530.12万元。</w:t>
      </w:r>
    </w:p>
    <w:p>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（二）关于丽水市莲都区人民法院审判保障服务中心2024年收入预算情况说明</w:t>
      </w:r>
    </w:p>
    <w:p>
      <w:pPr>
        <w:spacing w:line="520" w:lineRule="exact"/>
        <w:ind w:firstLine="642"/>
        <w:rPr>
          <w:rFonts w:ascii="仿宋_GB2312" w:eastAsia="仿宋_GB2312"/>
          <w:color w:val="000000"/>
          <w:sz w:val="32"/>
          <w:szCs w:val="32"/>
          <w:highlight w:val="none"/>
        </w:rPr>
      </w:pPr>
      <w:r>
        <w:rPr>
          <w:rFonts w:hint="eastAsia" w:ascii="仿宋_GB2312" w:hAnsi="仿宋_GB2312" w:eastAsia="仿宋_GB2312" w:cs="仿宋_GB2312"/>
          <w:color w:val="000000"/>
          <w:sz w:val="32"/>
          <w:szCs w:val="32"/>
          <w:highlight w:val="none"/>
        </w:rPr>
        <w:t>丽水市莲都区人民法院审判保障服务中心2024年收入预算530.12万元，比上年执行数增加</w:t>
      </w:r>
      <w:r>
        <w:rPr>
          <w:rFonts w:hint="eastAsia" w:ascii="仿宋_GB2312" w:hAnsi="仿宋_GB2312" w:eastAsia="仿宋_GB2312" w:cs="仿宋_GB2312"/>
          <w:color w:val="000000"/>
          <w:sz w:val="32"/>
          <w:szCs w:val="32"/>
          <w:highlight w:val="none"/>
          <w:lang w:val="en-US" w:eastAsia="zh-CN"/>
        </w:rPr>
        <w:t>7.42</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增</w:t>
      </w:r>
      <w:r>
        <w:rPr>
          <w:rFonts w:hint="eastAsia" w:ascii="仿宋_GB2312" w:hAnsi="仿宋_GB2312" w:eastAsia="仿宋_GB2312" w:cs="仿宋_GB2312"/>
          <w:color w:val="000000"/>
          <w:sz w:val="32"/>
          <w:szCs w:val="32"/>
          <w:highlight w:val="none"/>
        </w:rPr>
        <w:t>长</w:t>
      </w:r>
      <w:r>
        <w:rPr>
          <w:rFonts w:hint="eastAsia" w:ascii="仿宋_GB2312" w:hAnsi="仿宋_GB2312" w:eastAsia="仿宋_GB2312" w:cs="仿宋_GB2312"/>
          <w:color w:val="000000"/>
          <w:sz w:val="32"/>
          <w:szCs w:val="32"/>
          <w:highlight w:val="none"/>
          <w:lang w:val="en-US" w:eastAsia="zh-CN"/>
        </w:rPr>
        <w:t>1.42</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eastAsia="仿宋_GB2312"/>
          <w:color w:val="auto"/>
          <w:sz w:val="32"/>
          <w:szCs w:val="32"/>
          <w:highlight w:val="none"/>
          <w:lang w:eastAsia="zh-CN"/>
        </w:rPr>
        <w:t>人员工资福利支出部分略有增加</w:t>
      </w:r>
      <w:r>
        <w:rPr>
          <w:rFonts w:hint="eastAsia" w:ascii="仿宋_GB2312" w:hAnsi="仿宋_GB2312" w:eastAsia="仿宋_GB2312" w:cs="仿宋_GB2312"/>
          <w:color w:val="000000"/>
          <w:sz w:val="32"/>
          <w:szCs w:val="32"/>
          <w:highlight w:val="none"/>
        </w:rPr>
        <w:t>。</w:t>
      </w:r>
    </w:p>
    <w:p>
      <w:pPr>
        <w:spacing w:line="520" w:lineRule="exact"/>
        <w:ind w:firstLine="642"/>
        <w:rPr>
          <w:rFonts w:ascii="仿宋_GB2312" w:eastAsia="仿宋_GB2312"/>
          <w:color w:val="000000"/>
          <w:sz w:val="32"/>
          <w:szCs w:val="32"/>
          <w:highlight w:val="none"/>
        </w:rPr>
      </w:pPr>
      <w:r>
        <w:rPr>
          <w:rFonts w:hint="eastAsia" w:ascii="仿宋_GB2312" w:eastAsia="仿宋_GB2312"/>
          <w:color w:val="000000"/>
          <w:sz w:val="32"/>
          <w:szCs w:val="32"/>
        </w:rPr>
        <w:t>其中：一般公共预算拨款收入</w:t>
      </w:r>
      <w:r>
        <w:rPr>
          <w:rFonts w:ascii="仿宋_GB2312" w:eastAsia="仿宋_GB2312"/>
          <w:color w:val="000000"/>
          <w:sz w:val="32"/>
          <w:szCs w:val="32"/>
        </w:rPr>
        <w:t>530.12</w:t>
      </w:r>
      <w:r>
        <w:rPr>
          <w:rFonts w:hint="eastAsia" w:ascii="仿宋_GB2312" w:eastAsia="仿宋_GB2312"/>
          <w:color w:val="000000"/>
          <w:sz w:val="32"/>
          <w:szCs w:val="32"/>
        </w:rPr>
        <w:t>万元（上年结转0.00万元），占100.0%。</w:t>
      </w:r>
      <w:r>
        <w:rPr>
          <w:rFonts w:hint="eastAsia" w:ascii="仿宋_GB2312" w:eastAsia="仿宋_GB2312"/>
          <w:color w:val="000000"/>
          <w:sz w:val="32"/>
          <w:szCs w:val="32"/>
        </w:rPr>
        <w:br w:type="textWrapping"/>
      </w:r>
      <w:r>
        <w:rPr>
          <w:rFonts w:hint="eastAsia" w:ascii="楷体_GB2312" w:hAnsi="楷体_GB2312" w:eastAsia="楷体_GB2312" w:cs="楷体_GB2312"/>
          <w:bCs/>
          <w:color w:val="000000"/>
          <w:sz w:val="32"/>
          <w:szCs w:val="32"/>
        </w:rPr>
        <w:t>　　（三）关于丽水市莲都区人民法院审判保障服务中心2024年支出预算情况说明</w:t>
      </w:r>
      <w:r>
        <w:rPr>
          <w:rFonts w:hint="eastAsia" w:ascii="楷体_GB2312" w:hAnsi="楷体_GB2312" w:eastAsia="楷体_GB2312" w:cs="楷体_GB2312"/>
          <w:bCs/>
          <w:color w:val="000000"/>
          <w:sz w:val="32"/>
          <w:szCs w:val="32"/>
        </w:rPr>
        <w:br w:type="textWrapping"/>
      </w:r>
      <w:r>
        <w:rPr>
          <w:rFonts w:hint="eastAsia" w:ascii="仿宋_GB2312" w:eastAsia="仿宋_GB2312"/>
          <w:color w:val="000000"/>
          <w:sz w:val="32"/>
          <w:szCs w:val="32"/>
        </w:rPr>
        <w:t>　</w:t>
      </w:r>
      <w:r>
        <w:rPr>
          <w:rFonts w:hint="eastAsia" w:ascii="仿宋_GB2312" w:hAnsi="仿宋_GB2312" w:eastAsia="仿宋_GB2312" w:cs="仿宋_GB2312"/>
          <w:color w:val="000000"/>
          <w:sz w:val="32"/>
          <w:szCs w:val="32"/>
        </w:rPr>
        <w:t>　丽水市莲都区人民法院审判保障服务中心</w:t>
      </w:r>
      <w:r>
        <w:rPr>
          <w:rFonts w:hint="eastAsia" w:ascii="仿宋_GB2312" w:hAnsi="仿宋_GB2312" w:eastAsia="仿宋_GB2312" w:cs="仿宋_GB2312"/>
          <w:color w:val="000000"/>
          <w:sz w:val="32"/>
          <w:szCs w:val="32"/>
          <w:highlight w:val="none"/>
        </w:rPr>
        <w:t>2024年支出预算530.12万元，比上年执行数增加</w:t>
      </w:r>
      <w:r>
        <w:rPr>
          <w:rFonts w:hint="eastAsia" w:ascii="仿宋_GB2312" w:hAnsi="仿宋_GB2312" w:eastAsia="仿宋_GB2312" w:cs="仿宋_GB2312"/>
          <w:color w:val="000000"/>
          <w:sz w:val="32"/>
          <w:szCs w:val="32"/>
          <w:highlight w:val="none"/>
          <w:lang w:val="en-US" w:eastAsia="zh-CN"/>
        </w:rPr>
        <w:t>7.42</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增长</w:t>
      </w:r>
      <w:r>
        <w:rPr>
          <w:rFonts w:hint="eastAsia" w:ascii="仿宋_GB2312" w:hAnsi="仿宋_GB2312" w:eastAsia="仿宋_GB2312" w:cs="仿宋_GB2312"/>
          <w:color w:val="000000"/>
          <w:sz w:val="32"/>
          <w:highlight w:val="none"/>
          <w:lang w:val="en-US" w:eastAsia="zh-CN"/>
        </w:rPr>
        <w:t>1.42</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eastAsia="仿宋_GB2312"/>
          <w:color w:val="auto"/>
          <w:sz w:val="32"/>
          <w:szCs w:val="32"/>
          <w:highlight w:val="none"/>
          <w:lang w:eastAsia="zh-CN"/>
        </w:rPr>
        <w:t>人员工资福利支出部分略有增加</w:t>
      </w:r>
      <w:r>
        <w:rPr>
          <w:rFonts w:hint="eastAsia" w:ascii="仿宋_GB2312" w:hAnsi="仿宋_GB2312" w:eastAsia="仿宋_GB2312" w:cs="仿宋_GB2312"/>
          <w:color w:val="000000"/>
          <w:sz w:val="32"/>
          <w:szCs w:val="32"/>
          <w:highlight w:val="none"/>
        </w:rPr>
        <w:t>。</w:t>
      </w:r>
    </w:p>
    <w:p>
      <w:pPr>
        <w:spacing w:line="520" w:lineRule="exact"/>
        <w:ind w:firstLine="630"/>
        <w:rPr>
          <w:rFonts w:ascii="仿宋_GB2312" w:eastAsia="仿宋_GB2312"/>
          <w:color w:val="000000"/>
          <w:sz w:val="32"/>
          <w:szCs w:val="32"/>
        </w:rPr>
      </w:pPr>
      <w:r>
        <w:rPr>
          <w:rFonts w:hint="eastAsia" w:ascii="仿宋_GB2312" w:eastAsia="仿宋_GB2312"/>
          <w:color w:val="000000"/>
          <w:sz w:val="32"/>
          <w:szCs w:val="32"/>
        </w:rPr>
        <w:t>1.按支出功能分类，包括公共安全支出398.37万元、社会保障和就业支出43.28万元、卫生健康支出27.13万元、住房保障支出61.34万元。</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2.按支出用途分类，包括人员支出490.93万元，占92.6%；日常公用支出39.19万元，占7.4%。</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年终结转结余0.00万元。</w:t>
      </w:r>
    </w:p>
    <w:p>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（四）关于丽水市莲都区人民法院审判保障服务中心2024年财政拨款收支预算情况的总体说明</w:t>
      </w:r>
    </w:p>
    <w:p>
      <w:pPr>
        <w:spacing w:line="520" w:lineRule="exact"/>
        <w:ind w:firstLine="640"/>
        <w:rPr>
          <w:rFonts w:ascii="仿宋_GB2312" w:eastAsia="仿宋_GB2312"/>
          <w:color w:val="000000"/>
          <w:sz w:val="32"/>
          <w:szCs w:val="32"/>
        </w:rPr>
      </w:pPr>
      <w:r>
        <w:rPr>
          <w:rFonts w:hint="eastAsia" w:ascii="仿宋_GB2312" w:eastAsia="仿宋_GB2312"/>
          <w:color w:val="000000"/>
          <w:sz w:val="32"/>
          <w:szCs w:val="32"/>
        </w:rPr>
        <w:t>丽水市莲都区人民法院审判保障服务中心2024年财政拨款收支总预算530.12万元。收入包括：一般公共预算530.12万元；支出包括：公共安全支出398.37万元、社会保障和就业支出43.28万元、卫生健康支出27.13万元、住房保障支出61.34万元。</w:t>
      </w:r>
    </w:p>
    <w:p>
      <w:pPr>
        <w:numPr>
          <w:ilvl w:val="0"/>
          <w:numId w:val="1"/>
        </w:numPr>
        <w:spacing w:line="52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关于丽水市莲都区人民法院审判保障服务中心2024年一般公共预算拨款情况说明</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1.一般公共预算拨款规模变化情况。</w:t>
      </w:r>
    </w:p>
    <w:p>
      <w:pPr>
        <w:spacing w:line="520" w:lineRule="exact"/>
        <w:ind w:firstLine="642"/>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丽水市莲都区人民法院审判保障服务中心2024年一般公共预算拨款</w:t>
      </w:r>
      <w:r>
        <w:rPr>
          <w:rFonts w:hint="eastAsia" w:ascii="仿宋_GB2312" w:hAnsi="仿宋_GB2312" w:eastAsia="仿宋_GB2312" w:cs="仿宋_GB2312"/>
          <w:bCs/>
          <w:color w:val="000000"/>
          <w:sz w:val="32"/>
          <w:szCs w:val="32"/>
          <w:highlight w:val="none"/>
        </w:rPr>
        <w:t>530.12</w:t>
      </w:r>
      <w:r>
        <w:rPr>
          <w:rFonts w:hint="eastAsia" w:ascii="仿宋_GB2312" w:hAnsi="仿宋_GB2312" w:eastAsia="仿宋_GB2312" w:cs="仿宋_GB2312"/>
          <w:color w:val="000000"/>
          <w:sz w:val="32"/>
          <w:szCs w:val="32"/>
          <w:highlight w:val="none"/>
        </w:rPr>
        <w:t>万元，比上年执行数增加</w:t>
      </w:r>
      <w:r>
        <w:rPr>
          <w:rFonts w:hint="eastAsia" w:ascii="仿宋_GB2312" w:hAnsi="仿宋_GB2312" w:eastAsia="仿宋_GB2312" w:cs="仿宋_GB2312"/>
          <w:color w:val="000000"/>
          <w:sz w:val="32"/>
          <w:szCs w:val="32"/>
          <w:highlight w:val="none"/>
          <w:lang w:val="en-US" w:eastAsia="zh-CN"/>
        </w:rPr>
        <w:t>7.42</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增长</w:t>
      </w:r>
      <w:r>
        <w:rPr>
          <w:rFonts w:hint="eastAsia" w:ascii="仿宋_GB2312" w:hAnsi="仿宋_GB2312" w:eastAsia="仿宋_GB2312" w:cs="仿宋_GB2312"/>
          <w:color w:val="000000"/>
          <w:sz w:val="32"/>
          <w:szCs w:val="32"/>
          <w:highlight w:val="none"/>
          <w:lang w:val="en-US" w:eastAsia="zh-CN"/>
        </w:rPr>
        <w:t>1.42</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eastAsia="仿宋_GB2312"/>
          <w:color w:val="auto"/>
          <w:sz w:val="32"/>
          <w:szCs w:val="32"/>
          <w:highlight w:val="none"/>
          <w:lang w:eastAsia="zh-CN"/>
        </w:rPr>
        <w:t>人员工资福利支出部分略有增加</w:t>
      </w:r>
      <w:r>
        <w:rPr>
          <w:rFonts w:hint="eastAsia" w:ascii="仿宋_GB2312" w:hAnsi="仿宋_GB2312" w:eastAsia="仿宋_GB2312" w:cs="仿宋_GB2312"/>
          <w:color w:val="000000"/>
          <w:sz w:val="32"/>
          <w:szCs w:val="32"/>
          <w:highlight w:val="none"/>
        </w:rPr>
        <w:t>。</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2.一般公共预算拨款结构情况。</w:t>
      </w:r>
    </w:p>
    <w:p>
      <w:pPr>
        <w:spacing w:line="52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公共安全支出398.37万元，占75.1%；社会保障和就业支出43.28万元，占8.2%；卫生健康支出27.13万元，占5.1%；住房保障支出61.34万元，占11.6%。</w:t>
      </w:r>
    </w:p>
    <w:p>
      <w:pPr>
        <w:numPr>
          <w:ilvl w:val="0"/>
          <w:numId w:val="0"/>
        </w:numPr>
        <w:spacing w:line="520" w:lineRule="exact"/>
        <w:ind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val="en-US" w:eastAsia="zh-CN"/>
        </w:rPr>
        <w:t>3.</w:t>
      </w:r>
      <w:r>
        <w:rPr>
          <w:rFonts w:hint="eastAsia" w:ascii="仿宋_GB2312" w:hAnsi="仿宋_GB2312" w:eastAsia="仿宋_GB2312" w:cs="仿宋_GB2312"/>
          <w:b/>
          <w:color w:val="000000"/>
          <w:sz w:val="32"/>
          <w:szCs w:val="32"/>
        </w:rPr>
        <w:t>一般公共预算拨款具体使用情况。</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（1）公共安全支出（类）法院（款）事业运行（项）</w:t>
      </w:r>
      <w:r>
        <w:rPr>
          <w:rFonts w:hint="eastAsia" w:ascii="仿宋_GB2312" w:hAnsi="仿宋_GB2312" w:eastAsia="仿宋_GB2312" w:cs="仿宋_GB2312"/>
          <w:color w:val="000000"/>
          <w:sz w:val="32"/>
          <w:szCs w:val="32"/>
          <w:highlight w:val="none"/>
          <w:lang w:val="en-US" w:eastAsia="zh-CN"/>
        </w:rPr>
        <w:t>398.37</w:t>
      </w:r>
      <w:r>
        <w:rPr>
          <w:rFonts w:hint="eastAsia" w:ascii="仿宋_GB2312" w:hAnsi="仿宋_GB2312" w:eastAsia="仿宋_GB2312" w:cs="仿宋_GB2312"/>
          <w:color w:val="000000"/>
          <w:sz w:val="32"/>
          <w:szCs w:val="32"/>
          <w:highlight w:val="none"/>
          <w:lang w:eastAsia="zh-CN"/>
        </w:rPr>
        <w:t>万元，主要用于莲都区人民法院审判保障服务中心正常运行，完成日常工作任务所发生的人员支出及日常运行公用经费等基本支出。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lang w:eastAsia="zh-CN"/>
        </w:rPr>
        <w:t>）社会保障和就业支出（类）行政事业单位养老支出（款）机关事业单位基本养老保险缴费支出（项）</w:t>
      </w:r>
      <w:r>
        <w:rPr>
          <w:rFonts w:hint="eastAsia" w:ascii="仿宋_GB2312" w:hAnsi="仿宋_GB2312" w:eastAsia="仿宋_GB2312" w:cs="仿宋_GB2312"/>
          <w:color w:val="000000"/>
          <w:sz w:val="32"/>
          <w:szCs w:val="32"/>
          <w:highlight w:val="none"/>
          <w:lang w:val="en-US" w:eastAsia="zh-CN"/>
        </w:rPr>
        <w:t>27.57</w:t>
      </w:r>
      <w:r>
        <w:rPr>
          <w:rFonts w:hint="eastAsia" w:ascii="仿宋_GB2312" w:hAnsi="仿宋_GB2312" w:eastAsia="仿宋_GB2312" w:cs="仿宋_GB2312"/>
          <w:color w:val="000000"/>
          <w:sz w:val="32"/>
          <w:szCs w:val="32"/>
          <w:highlight w:val="none"/>
          <w:lang w:eastAsia="zh-CN"/>
        </w:rPr>
        <w:t>万元,主要用于莲都区人民法院审判保障服务中心缴纳的基本养老保险费支出。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eastAsia="zh-CN"/>
        </w:rPr>
        <w:t>）社会保障和就业支出（类）行政事业单位养老支出（款）机关事业单位职业年金缴费支出（项）</w:t>
      </w:r>
      <w:r>
        <w:rPr>
          <w:rFonts w:hint="eastAsia" w:ascii="仿宋_GB2312" w:hAnsi="仿宋_GB2312" w:eastAsia="仿宋_GB2312" w:cs="仿宋_GB2312"/>
          <w:color w:val="000000"/>
          <w:sz w:val="32"/>
          <w:szCs w:val="32"/>
          <w:highlight w:val="none"/>
          <w:lang w:val="en-US" w:eastAsia="zh-CN"/>
        </w:rPr>
        <w:t>13.79</w:t>
      </w:r>
      <w:r>
        <w:rPr>
          <w:rFonts w:hint="eastAsia" w:ascii="仿宋_GB2312" w:hAnsi="仿宋_GB2312" w:eastAsia="仿宋_GB2312" w:cs="仿宋_GB2312"/>
          <w:color w:val="000000"/>
          <w:sz w:val="32"/>
          <w:szCs w:val="32"/>
          <w:highlight w:val="none"/>
          <w:lang w:eastAsia="zh-CN"/>
        </w:rPr>
        <w:t>万元,主要用于莲都区人民法院审判保障服务中心实际缴纳职业年金支出。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lang w:eastAsia="zh-CN"/>
        </w:rPr>
        <w:t>）社会保障和就业支出（类）行政事业单位养老支出（款）其他行政事业单位养老支出（项）</w:t>
      </w:r>
      <w:r>
        <w:rPr>
          <w:rFonts w:hint="eastAsia" w:ascii="仿宋_GB2312" w:hAnsi="仿宋_GB2312" w:eastAsia="仿宋_GB2312" w:cs="仿宋_GB2312"/>
          <w:color w:val="000000"/>
          <w:sz w:val="32"/>
          <w:szCs w:val="32"/>
          <w:highlight w:val="none"/>
          <w:lang w:val="en-US" w:eastAsia="zh-CN"/>
        </w:rPr>
        <w:t>1.92</w:t>
      </w:r>
      <w:r>
        <w:rPr>
          <w:rFonts w:hint="eastAsia" w:ascii="仿宋_GB2312" w:hAnsi="仿宋_GB2312" w:eastAsia="仿宋_GB2312" w:cs="仿宋_GB2312"/>
          <w:color w:val="000000"/>
          <w:sz w:val="32"/>
          <w:szCs w:val="32"/>
          <w:highlight w:val="none"/>
          <w:lang w:eastAsia="zh-CN"/>
        </w:rPr>
        <w:t>万元，主要用于莲都区人民法院审判保障服务中心退休人员综合生活补助及活动费支出。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lang w:eastAsia="zh-CN"/>
        </w:rPr>
        <w:t>）卫生健康支出（类）行政事业单位医疗（款）事业单位医疗（项）</w:t>
      </w:r>
      <w:r>
        <w:rPr>
          <w:rFonts w:hint="eastAsia" w:ascii="仿宋_GB2312" w:hAnsi="仿宋_GB2312" w:eastAsia="仿宋_GB2312" w:cs="仿宋_GB2312"/>
          <w:color w:val="000000"/>
          <w:sz w:val="32"/>
          <w:szCs w:val="32"/>
          <w:highlight w:val="none"/>
          <w:lang w:val="en-US" w:eastAsia="zh-CN"/>
        </w:rPr>
        <w:t>27.13</w:t>
      </w:r>
      <w:r>
        <w:rPr>
          <w:rFonts w:hint="eastAsia" w:ascii="仿宋_GB2312" w:hAnsi="仿宋_GB2312" w:eastAsia="仿宋_GB2312" w:cs="仿宋_GB2312"/>
          <w:color w:val="000000"/>
          <w:sz w:val="32"/>
          <w:szCs w:val="32"/>
          <w:highlight w:val="none"/>
          <w:lang w:eastAsia="zh-CN"/>
        </w:rPr>
        <w:t>万元。主要用于莲都区人民法院审判保障服务中心在职人员的医疗保险费支出。</w:t>
      </w:r>
    </w:p>
    <w:p>
      <w:pPr>
        <w:spacing w:line="520" w:lineRule="exact"/>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lang w:eastAsia="zh-CN"/>
        </w:rPr>
        <w:t>）住房保障支出（类）住房改革支出（款）住房公积金（项）</w:t>
      </w:r>
      <w:r>
        <w:rPr>
          <w:rFonts w:hint="eastAsia" w:ascii="仿宋_GB2312" w:hAnsi="仿宋_GB2312" w:eastAsia="仿宋_GB2312" w:cs="仿宋_GB2312"/>
          <w:color w:val="000000"/>
          <w:sz w:val="32"/>
          <w:szCs w:val="32"/>
          <w:highlight w:val="none"/>
          <w:lang w:val="en-US" w:eastAsia="zh-CN"/>
        </w:rPr>
        <w:t>61.34</w:t>
      </w:r>
      <w:r>
        <w:rPr>
          <w:rFonts w:hint="eastAsia" w:ascii="仿宋_GB2312" w:hAnsi="仿宋_GB2312" w:eastAsia="仿宋_GB2312" w:cs="仿宋_GB2312"/>
          <w:color w:val="000000"/>
          <w:sz w:val="32"/>
          <w:szCs w:val="32"/>
          <w:highlight w:val="none"/>
          <w:lang w:eastAsia="zh-CN"/>
        </w:rPr>
        <w:t>万元。主要用于莲都区人民法院审判保障服务中心为职工缴纳的住房公积金支出。</w:t>
      </w:r>
    </w:p>
    <w:p>
      <w:pPr>
        <w:spacing w:line="520" w:lineRule="exact"/>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    （六）关于丽水市莲都区人民法院审判保障服务中心2024年一般公共预算基本支出情况说明</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丽水市莲都区人民法院审判保障服务中心2024年一般公共预算基本支出530.12万元，其中：</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人员经费490.93万元，主要包括：基本工资、津贴补贴、奖金、绩效工资、机关事业单位基本养老保险缴费、职业年金缴费、职工基本医疗保险缴费、公务员医疗补助缴费、其他社会保障缴费、住房公积金、医疗费、其他工资福利支出、其他对个人和家庭的补助；</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公用经费39.19万元，主要包括：办公费、差旅费</w:t>
      </w:r>
      <w:r>
        <w:rPr>
          <w:rFonts w:hint="eastAsia" w:ascii="仿宋_GB2312" w:eastAsia="仿宋_GB2312"/>
          <w:color w:val="000000"/>
          <w:sz w:val="32"/>
          <w:szCs w:val="32"/>
          <w:lang w:eastAsia="zh-CN"/>
        </w:rPr>
        <w:t>、</w:t>
      </w:r>
      <w:r>
        <w:rPr>
          <w:rFonts w:hint="eastAsia" w:ascii="仿宋_GB2312" w:eastAsia="仿宋_GB2312"/>
          <w:color w:val="000000"/>
          <w:sz w:val="32"/>
          <w:szCs w:val="32"/>
        </w:rPr>
        <w:t>培训费、工会经费、福利费、公务用车运行维护费、其他商品和服务支出。</w:t>
      </w:r>
    </w:p>
    <w:p>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（七）关于丽水市莲都区人民法院审判保障服务中心2024年政府性基金预算支出情况说明</w:t>
      </w:r>
    </w:p>
    <w:p>
      <w:pPr>
        <w:spacing w:line="520" w:lineRule="exact"/>
        <w:ind w:firstLine="642"/>
        <w:rPr>
          <w:rFonts w:ascii="仿宋_GB2312" w:hAnsi="仿宋_GB2312" w:eastAsia="仿宋_GB2312" w:cs="仿宋_GB2312"/>
          <w:color w:val="000000"/>
          <w:sz w:val="32"/>
          <w:szCs w:val="32"/>
          <w:highlight w:val="yellow"/>
        </w:rPr>
      </w:pPr>
      <w:r>
        <w:rPr>
          <w:rFonts w:hint="eastAsia" w:ascii="仿宋_GB2312" w:hAnsi="仿宋_GB2312" w:eastAsia="仿宋_GB2312" w:cs="仿宋_GB2312"/>
          <w:color w:val="000000"/>
          <w:sz w:val="32"/>
          <w:szCs w:val="32"/>
        </w:rPr>
        <w:t>丽水市莲都区人民法院审判保障服务中心2024年没有使用政府性基金预算拨款安排的支出</w:t>
      </w:r>
      <w:r>
        <w:rPr>
          <w:rFonts w:hint="eastAsia" w:ascii="仿宋_GB2312" w:eastAsia="仿宋_GB2312"/>
          <w:color w:val="000000"/>
          <w:sz w:val="32"/>
          <w:szCs w:val="32"/>
        </w:rPr>
        <w:t>，与上年持平</w:t>
      </w:r>
      <w:r>
        <w:rPr>
          <w:rFonts w:hint="eastAsia" w:ascii="仿宋_GB2312" w:hAnsi="仿宋_GB2312" w:eastAsia="仿宋_GB2312" w:cs="仿宋_GB2312"/>
          <w:color w:val="000000"/>
          <w:sz w:val="32"/>
          <w:szCs w:val="32"/>
        </w:rPr>
        <w:t>。</w:t>
      </w:r>
    </w:p>
    <w:p>
      <w:pPr>
        <w:shd w:val="clear"/>
        <w:spacing w:line="520" w:lineRule="exact"/>
        <w:ind w:firstLine="627" w:firstLineChars="196"/>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（八）关于</w:t>
      </w:r>
      <w:r>
        <w:rPr>
          <w:rFonts w:ascii="楷体_GB2312" w:hAnsi="楷体_GB2312" w:eastAsia="楷体_GB2312" w:cs="楷体_GB2312"/>
          <w:bCs/>
          <w:color w:val="000000"/>
          <w:sz w:val="32"/>
          <w:szCs w:val="32"/>
          <w:highlight w:val="none"/>
        </w:rPr>
        <w:t>丽水市莲都区人民法院审判保障服务中心2024</w:t>
      </w:r>
      <w:r>
        <w:rPr>
          <w:rFonts w:hint="eastAsia" w:ascii="楷体_GB2312" w:hAnsi="楷体_GB2312" w:eastAsia="楷体_GB2312" w:cs="楷体_GB2312"/>
          <w:bCs/>
          <w:color w:val="000000"/>
          <w:sz w:val="32"/>
          <w:szCs w:val="32"/>
          <w:highlight w:val="none"/>
        </w:rPr>
        <w:t>年国有资本经营预算支出情况说明</w:t>
      </w:r>
    </w:p>
    <w:p>
      <w:pPr>
        <w:shd w:val="clear"/>
        <w:spacing w:line="520" w:lineRule="exact"/>
        <w:ind w:firstLine="640" w:firstLineChars="200"/>
        <w:rPr>
          <w:b/>
          <w:sz w:val="20"/>
          <w:highlight w:val="none"/>
        </w:rPr>
      </w:pPr>
      <w:r>
        <w:rPr>
          <w:rFonts w:hint="eastAsia" w:ascii="仿宋_GB2312" w:hAnsi="仿宋_GB2312" w:eastAsia="仿宋_GB2312" w:cs="仿宋_GB2312"/>
          <w:color w:val="000000"/>
          <w:sz w:val="32"/>
          <w:szCs w:val="32"/>
          <w:highlight w:val="none"/>
        </w:rPr>
        <w:t>丽水市莲都区人民法院审判保障服务中心2024年没有使用国有资本经营预算拨款安排的支出，与上年持平。</w:t>
      </w:r>
    </w:p>
    <w:p>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（九）关于丽水市莲都区人民法院审判保障服务中心2024年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pPr>
        <w:spacing w:line="520" w:lineRule="exact"/>
        <w:ind w:firstLine="640" w:firstLineChars="200"/>
        <w:rPr>
          <w:rFonts w:ascii="仿宋_GB2312" w:hAnsi="仿宋_GB2312" w:eastAsia="仿宋_GB2312"/>
          <w:sz w:val="32"/>
        </w:rPr>
      </w:pPr>
      <w:r>
        <w:rPr>
          <w:rFonts w:hint="eastAsia" w:ascii="仿宋_GB2312" w:hAnsi="仿宋_GB2312" w:eastAsia="仿宋_GB2312"/>
          <w:sz w:val="32"/>
        </w:rPr>
        <w:t>丽水市莲都区人民法院审判保障服务中心2024年“三公”经费预算数为3.00万元，</w:t>
      </w:r>
      <w:r>
        <w:rPr>
          <w:rFonts w:hint="eastAsia" w:ascii="仿宋_GB2312" w:hAnsi="仿宋_GB2312" w:eastAsia="仿宋_GB2312"/>
          <w:sz w:val="32"/>
          <w:shd w:val="clear" w:color="auto" w:fill="FFFFFF"/>
          <w:lang w:eastAsia="zh-CN"/>
        </w:rPr>
        <w:t>与</w:t>
      </w:r>
      <w:r>
        <w:rPr>
          <w:rFonts w:hint="eastAsia" w:ascii="仿宋_GB2312" w:hAnsi="仿宋_GB2312" w:eastAsia="仿宋_GB2312"/>
          <w:sz w:val="32"/>
          <w:shd w:val="clear" w:color="auto" w:fill="FFFFFF"/>
        </w:rPr>
        <w:t>上年预算数</w:t>
      </w:r>
      <w:r>
        <w:rPr>
          <w:rFonts w:hint="eastAsia" w:ascii="仿宋_GB2312" w:hAnsi="仿宋_GB2312" w:eastAsia="仿宋_GB2312"/>
          <w:sz w:val="32"/>
          <w:shd w:val="clear" w:color="auto" w:fill="FFFFFF"/>
          <w:lang w:eastAsia="zh-CN"/>
        </w:rPr>
        <w:t>持平</w:t>
      </w:r>
      <w:r>
        <w:rPr>
          <w:rFonts w:hint="eastAsia" w:ascii="仿宋_GB2312" w:hAnsi="仿宋_GB2312" w:eastAsia="仿宋_GB2312"/>
          <w:sz w:val="32"/>
        </w:rPr>
        <w:t>，具体如下：</w:t>
      </w:r>
    </w:p>
    <w:p>
      <w:pPr>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1.因公出国（境）费用：</w:t>
      </w:r>
      <w:r>
        <w:rPr>
          <w:rFonts w:hint="eastAsia" w:ascii="仿宋_GB2312" w:hAnsi="仿宋_GB2312" w:eastAsia="仿宋_GB2312" w:cs="仿宋_GB2312"/>
          <w:sz w:val="32"/>
          <w:szCs w:val="32"/>
        </w:rPr>
        <w:t>根据因公出国计划和实际工作需要，2024年安排因公出国（境）费用预算0.00万元，</w:t>
      </w:r>
      <w:r>
        <w:rPr>
          <w:rFonts w:hint="eastAsia" w:ascii="仿宋_GB2312" w:hAnsi="仿宋_GB2312" w:eastAsia="仿宋_GB2312" w:cs="仿宋_GB2312"/>
          <w:sz w:val="32"/>
          <w:szCs w:val="32"/>
          <w:lang w:eastAsia="zh-CN"/>
        </w:rPr>
        <w:t>与上年预算数持平</w:t>
      </w:r>
      <w:r>
        <w:rPr>
          <w:rFonts w:hint="eastAsia" w:ascii="仿宋_GB2312" w:hAnsi="仿宋_GB2312" w:eastAsia="仿宋_GB2312" w:cs="仿宋_GB2312"/>
          <w:sz w:val="32"/>
          <w:szCs w:val="32"/>
        </w:rPr>
        <w:t>。主要用于机关及下属预算单位人员的公务出国（境）的国际旅费、国外城市间交通费、住宿费、伙食费、培训费、公杂费等支出。</w:t>
      </w:r>
      <w:r>
        <w:rPr>
          <w:rFonts w:hint="eastAsia" w:ascii="仿宋_GB2312" w:hAnsi="仿宋_GB2312" w:eastAsia="仿宋_GB2312" w:cs="仿宋_GB2312"/>
          <w:sz w:val="32"/>
          <w:szCs w:val="32"/>
          <w:lang w:eastAsia="zh-CN"/>
        </w:rPr>
        <w:t>持平的主要原因是近两年均没有人员因公出国（境）。</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2.公务接待费：2024年安排公务接待费预算0.00万元，</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上年预算数</w:t>
      </w:r>
      <w:r>
        <w:rPr>
          <w:rFonts w:hint="eastAsia" w:ascii="仿宋_GB2312" w:hAnsi="仿宋_GB2312" w:eastAsia="仿宋_GB2312"/>
          <w:sz w:val="32"/>
          <w:shd w:val="clear" w:color="auto" w:fill="FFFFFF"/>
          <w:lang w:eastAsia="zh-CN"/>
        </w:rPr>
        <w:t>持平，持平原因为近两年没有公务接待安排</w:t>
      </w:r>
      <w:r>
        <w:rPr>
          <w:rFonts w:hint="eastAsia" w:ascii="仿宋_GB2312" w:hAnsi="仿宋_GB2312" w:eastAsia="仿宋_GB2312" w:cs="仿宋_GB2312"/>
          <w:sz w:val="32"/>
          <w:szCs w:val="32"/>
        </w:rPr>
        <w:t>。</w:t>
      </w:r>
    </w:p>
    <w:p>
      <w:pPr>
        <w:pStyle w:val="15"/>
        <w:spacing w:line="520" w:lineRule="exact"/>
        <w:ind w:firstLine="640" w:firstLineChars="200"/>
        <w:rPr>
          <w:rFonts w:ascii="仿宋_GB2312" w:eastAsia="仿宋_GB2312"/>
          <w:b/>
          <w:bCs/>
          <w:sz w:val="32"/>
          <w:szCs w:val="32"/>
          <w:highlight w:val="none"/>
        </w:rPr>
      </w:pPr>
      <w:r>
        <w:rPr>
          <w:rFonts w:hint="eastAsia" w:ascii="仿宋_GB2312" w:eastAsia="仿宋_GB2312"/>
          <w:sz w:val="32"/>
          <w:szCs w:val="32"/>
        </w:rPr>
        <w:t>3.公务用车购置及运行维护费：2024年安排公务用车购置及运行维护费预算3.00万元，</w:t>
      </w:r>
      <w:r>
        <w:rPr>
          <w:rFonts w:hint="eastAsia" w:ascii="仿宋_GB2312" w:eastAsia="仿宋_GB2312"/>
          <w:sz w:val="32"/>
          <w:szCs w:val="32"/>
          <w:lang w:eastAsia="zh-CN"/>
        </w:rPr>
        <w:t>与</w:t>
      </w:r>
      <w:r>
        <w:rPr>
          <w:rFonts w:hint="eastAsia" w:ascii="仿宋_GB2312" w:eastAsia="仿宋_GB2312"/>
          <w:sz w:val="32"/>
          <w:szCs w:val="32"/>
        </w:rPr>
        <w:t>上年预算数</w:t>
      </w:r>
      <w:r>
        <w:rPr>
          <w:rFonts w:hint="eastAsia" w:ascii="仿宋_GB2312" w:hAnsi="仿宋_GB2312" w:eastAsia="仿宋_GB2312"/>
          <w:sz w:val="32"/>
          <w:shd w:val="clear" w:color="auto" w:fill="FFFFFF"/>
          <w:lang w:eastAsia="zh-CN"/>
        </w:rPr>
        <w:t>持平</w:t>
      </w:r>
      <w:r>
        <w:rPr>
          <w:rFonts w:hint="eastAsia" w:ascii="仿宋_GB2312" w:eastAsia="仿宋_GB2312"/>
          <w:sz w:val="32"/>
          <w:szCs w:val="32"/>
          <w:highlight w:val="none"/>
        </w:rPr>
        <w:t>。其中，公务用车购置支出0.00万元（含购置税等附加费用），主要用于经批准购置的</w:t>
      </w:r>
      <w:r>
        <w:rPr>
          <w:rFonts w:hint="eastAsia" w:ascii="仿宋_GB2312" w:eastAsia="仿宋_GB2312"/>
          <w:color w:val="000000"/>
          <w:sz w:val="32"/>
          <w:szCs w:val="32"/>
          <w:highlight w:val="none"/>
          <w:lang w:val="en-US" w:eastAsia="zh-CN"/>
        </w:rPr>
        <w:t>0</w:t>
      </w:r>
      <w:r>
        <w:rPr>
          <w:rFonts w:hint="eastAsia" w:ascii="仿宋_GB2312" w:eastAsia="仿宋_GB2312"/>
          <w:sz w:val="32"/>
          <w:szCs w:val="32"/>
          <w:highlight w:val="none"/>
        </w:rPr>
        <w:t>辆公务用车，</w:t>
      </w:r>
      <w:r>
        <w:rPr>
          <w:rFonts w:hint="eastAsia" w:ascii="仿宋_GB2312" w:eastAsia="仿宋_GB2312"/>
          <w:sz w:val="32"/>
          <w:szCs w:val="32"/>
          <w:highlight w:val="none"/>
          <w:lang w:eastAsia="zh-CN"/>
        </w:rPr>
        <w:t>与</w:t>
      </w:r>
      <w:r>
        <w:rPr>
          <w:rFonts w:hint="eastAsia" w:ascii="仿宋_GB2312" w:eastAsia="仿宋_GB2312"/>
          <w:sz w:val="32"/>
          <w:szCs w:val="32"/>
          <w:highlight w:val="none"/>
        </w:rPr>
        <w:t>上年预算数</w:t>
      </w:r>
      <w:r>
        <w:rPr>
          <w:rFonts w:hint="eastAsia" w:ascii="仿宋_GB2312" w:eastAsia="仿宋_GB2312"/>
          <w:sz w:val="32"/>
          <w:szCs w:val="32"/>
          <w:highlight w:val="none"/>
          <w:lang w:eastAsia="zh-CN"/>
        </w:rPr>
        <w:t>持平，</w:t>
      </w:r>
      <w:r>
        <w:rPr>
          <w:rFonts w:hint="eastAsia" w:ascii="仿宋_GB2312" w:hAnsi="仿宋_GB2312" w:eastAsia="仿宋_GB2312"/>
          <w:sz w:val="32"/>
          <w:shd w:val="clear" w:color="auto" w:fill="FFFFFF"/>
          <w:lang w:eastAsia="zh-CN"/>
        </w:rPr>
        <w:t>持平原因为本年没有公车购置安排</w:t>
      </w:r>
      <w:r>
        <w:rPr>
          <w:rFonts w:hint="eastAsia" w:ascii="仿宋_GB2312" w:eastAsia="仿宋_GB2312"/>
          <w:sz w:val="32"/>
          <w:szCs w:val="32"/>
          <w:highlight w:val="none"/>
        </w:rPr>
        <w:t>；公务用车运行维护费支出3.00万元，主要用于公务用车燃料费、维修费、过桥过路费、保险费等支出。</w:t>
      </w:r>
      <w:r>
        <w:rPr>
          <w:rFonts w:hint="eastAsia" w:ascii="仿宋_GB2312" w:eastAsia="仿宋_GB2312"/>
          <w:sz w:val="32"/>
          <w:szCs w:val="32"/>
          <w:highlight w:val="none"/>
          <w:lang w:eastAsia="zh-CN"/>
        </w:rPr>
        <w:t>与</w:t>
      </w:r>
      <w:r>
        <w:rPr>
          <w:rFonts w:hint="eastAsia" w:ascii="仿宋_GB2312" w:eastAsia="仿宋_GB2312"/>
          <w:sz w:val="32"/>
          <w:szCs w:val="32"/>
          <w:highlight w:val="none"/>
        </w:rPr>
        <w:t>上年预算数</w:t>
      </w:r>
      <w:r>
        <w:rPr>
          <w:rFonts w:hint="eastAsia" w:ascii="仿宋_GB2312" w:eastAsia="仿宋_GB2312"/>
          <w:sz w:val="32"/>
          <w:szCs w:val="32"/>
          <w:highlight w:val="none"/>
          <w:lang w:eastAsia="zh-CN"/>
        </w:rPr>
        <w:t>持平，</w:t>
      </w:r>
      <w:r>
        <w:rPr>
          <w:rFonts w:hint="eastAsia" w:ascii="仿宋_GB2312" w:hAnsi="仿宋_GB2312" w:eastAsia="仿宋_GB2312"/>
          <w:sz w:val="32"/>
          <w:shd w:val="clear" w:color="auto" w:fill="FFFFFF"/>
          <w:lang w:eastAsia="zh-CN"/>
        </w:rPr>
        <w:t>持平原因为本年度公务用车运行维护需求与上年一致</w:t>
      </w:r>
      <w:r>
        <w:rPr>
          <w:rFonts w:hint="eastAsia" w:ascii="仿宋_GB2312" w:eastAsia="仿宋_GB2312"/>
          <w:sz w:val="32"/>
          <w:szCs w:val="32"/>
          <w:highlight w:val="none"/>
        </w:rPr>
        <w:t>。</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pPr>
        <w:pStyle w:val="15"/>
        <w:numPr>
          <w:ilvl w:val="0"/>
          <w:numId w:val="0"/>
        </w:numPr>
        <w:spacing w:line="520" w:lineRule="exact"/>
        <w:ind w:firstLine="643" w:firstLineChars="200"/>
        <w:rPr>
          <w:rFonts w:ascii="仿宋_GB2312" w:eastAsia="仿宋_GB2312"/>
          <w:b/>
          <w:bCs/>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政府采购情况。</w:t>
      </w:r>
    </w:p>
    <w:p>
      <w:pPr>
        <w:pStyle w:val="15"/>
        <w:spacing w:line="520" w:lineRule="exact"/>
        <w:ind w:firstLine="640" w:firstLineChars="200"/>
        <w:rPr>
          <w:rFonts w:ascii="仿宋_GB2312" w:eastAsia="仿宋_GB2312"/>
          <w:sz w:val="32"/>
          <w:szCs w:val="32"/>
        </w:rPr>
      </w:pPr>
      <w:r>
        <w:rPr>
          <w:rFonts w:hint="eastAsia" w:ascii="仿宋_GB2312" w:eastAsia="仿宋_GB2312"/>
          <w:sz w:val="32"/>
          <w:szCs w:val="32"/>
        </w:rPr>
        <w:t>2024年丽水市莲都区人民法院审判保障服务中心</w:t>
      </w:r>
      <w:r>
        <w:rPr>
          <w:rFonts w:hint="eastAsia" w:ascii="仿宋_GB2312" w:eastAsia="仿宋_GB2312"/>
          <w:color w:val="000000"/>
          <w:sz w:val="32"/>
          <w:szCs w:val="32"/>
        </w:rPr>
        <w:t>各单位政府采购预算总额</w:t>
      </w:r>
      <w:r>
        <w:rPr>
          <w:rFonts w:ascii="仿宋_GB2312" w:eastAsia="仿宋_GB2312"/>
          <w:color w:val="000000"/>
          <w:sz w:val="32"/>
          <w:szCs w:val="32"/>
        </w:rPr>
        <w:t>0.00</w:t>
      </w:r>
      <w:r>
        <w:rPr>
          <w:rFonts w:hint="eastAsia" w:ascii="仿宋_GB2312" w:eastAsia="仿宋_GB2312"/>
          <w:color w:val="000000"/>
          <w:sz w:val="32"/>
          <w:szCs w:val="32"/>
        </w:rPr>
        <w:t>万元，其中：政府采购货物预算0.00万元、政府采购工程预算0.00万元、政府采购服务预算</w:t>
      </w:r>
      <w:r>
        <w:rPr>
          <w:rFonts w:ascii="仿宋_GB2312" w:eastAsia="仿宋_GB2312"/>
          <w:color w:val="000000"/>
          <w:sz w:val="32"/>
          <w:szCs w:val="32"/>
        </w:rPr>
        <w:t>0.00</w:t>
      </w:r>
      <w:r>
        <w:rPr>
          <w:rFonts w:hint="eastAsia" w:ascii="仿宋_GB2312" w:eastAsia="仿宋_GB2312"/>
          <w:color w:val="000000"/>
          <w:sz w:val="32"/>
          <w:szCs w:val="32"/>
        </w:rPr>
        <w:t>万元。</w:t>
      </w:r>
    </w:p>
    <w:p>
      <w:pPr>
        <w:pStyle w:val="15"/>
        <w:spacing w:line="520" w:lineRule="exact"/>
        <w:ind w:firstLine="642"/>
        <w:rPr>
          <w:rFonts w:ascii="仿宋_GB2312" w:eastAsia="仿宋_GB2312"/>
          <w:sz w:val="32"/>
          <w:szCs w:val="32"/>
        </w:rPr>
      </w:pPr>
      <w:r>
        <w:rPr>
          <w:rFonts w:hint="eastAsia" w:ascii="仿宋_GB2312" w:eastAsia="仿宋_GB2312"/>
          <w:b/>
          <w:bCs/>
          <w:sz w:val="32"/>
          <w:szCs w:val="32"/>
          <w:lang w:val="en-US" w:eastAsia="zh-CN"/>
        </w:rPr>
        <w:t>2</w:t>
      </w:r>
      <w:r>
        <w:rPr>
          <w:rFonts w:hint="eastAsia" w:ascii="仿宋_GB2312" w:eastAsia="仿宋_GB2312"/>
          <w:b/>
          <w:bCs/>
          <w:sz w:val="32"/>
          <w:szCs w:val="32"/>
        </w:rPr>
        <w:t>.国有资产占有使用情况。</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截至2023年12月31日，所属各预算单位共有车辆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辆，其中，应急保障用车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台（套）。 </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2024年部门预算未安排购置车辆、单位价值50万元以上通用设备及单位价值100万元以上专用设备</w:t>
      </w:r>
      <w:r>
        <w:rPr>
          <w:rFonts w:hint="eastAsia" w:ascii="仿宋_GB2312" w:hAnsi="仿宋_GB2312" w:eastAsia="仿宋_GB2312" w:cs="仿宋_GB2312"/>
          <w:sz w:val="32"/>
          <w:szCs w:val="32"/>
        </w:rPr>
        <w:t>。</w:t>
      </w:r>
    </w:p>
    <w:p>
      <w:pPr>
        <w:pStyle w:val="15"/>
        <w:spacing w:line="520" w:lineRule="exact"/>
        <w:rPr>
          <w:rFonts w:ascii="仿宋_GB2312" w:eastAsia="仿宋_GB2312"/>
          <w:b/>
          <w:bCs/>
          <w:sz w:val="32"/>
          <w:szCs w:val="32"/>
        </w:rPr>
      </w:pPr>
      <w:r>
        <w:rPr>
          <w:rFonts w:hint="eastAsia" w:ascii="仿宋_GB2312" w:eastAsia="仿宋_GB2312"/>
          <w:b/>
          <w:bCs/>
          <w:sz w:val="32"/>
          <w:szCs w:val="32"/>
        </w:rPr>
        <w:t xml:space="preserve">    4.预算绩效情况说明。</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2024年丽水市莲都区人民法院审判保障服务中心</w:t>
      </w:r>
      <w:r>
        <w:rPr>
          <w:rFonts w:hint="eastAsia" w:ascii="仿宋_GB2312" w:hAnsi="仿宋_GB2312" w:eastAsia="仿宋_GB2312" w:cs="仿宋_GB2312"/>
          <w:sz w:val="32"/>
          <w:szCs w:val="32"/>
          <w:lang w:eastAsia="zh-CN"/>
        </w:rPr>
        <w:t>无</w:t>
      </w:r>
      <w:r>
        <w:rPr>
          <w:rFonts w:ascii="仿宋_GB2312" w:hAnsi="仿宋_GB2312" w:eastAsia="仿宋_GB2312" w:cs="仿宋_GB2312"/>
          <w:sz w:val="32"/>
          <w:szCs w:val="32"/>
        </w:rPr>
        <w:t>其他运转类项目和特定目标类项目</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共计0个一级项目，涉及当年资金0.00万元</w:t>
      </w:r>
      <w:r>
        <w:rPr>
          <w:rFonts w:hint="eastAsia" w:ascii="仿宋_GB2312" w:hAnsi="仿宋_GB2312" w:eastAsia="仿宋_GB2312" w:cs="仿宋_GB2312"/>
          <w:sz w:val="32"/>
          <w:szCs w:val="32"/>
        </w:rPr>
        <w:t>。同时，将按照相关制度规定开展绩效自评。一级项目绩效目标表，详见“部门项目支出绩效表”。</w:t>
      </w:r>
    </w:p>
    <w:p>
      <w:pPr>
        <w:pStyle w:val="15"/>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三、名词解释</w:t>
      </w:r>
      <w:bookmarkStart w:id="0" w:name="_GoBack"/>
      <w:bookmarkEnd w:id="0"/>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政府性基金预算和国有资本经营预算财政拨款。</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2.财政专户管理资金:教育收费作为本部门的事业收入，纳入财政专户管理的资金。</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3.事业收入：事业单位开展专业业务活动及辅助活动所取得的收入，不含财政专户管理资金收入。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4.事业单位经营收入：事业单位在专业业务活动及辅助活动之外开展非独立核算经营活动取得的收入。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收入：预算单位在“一般公共预算”“政府性基金预算”“国有资本经营预算”“财政专户管理资金”“事业收入”“事业单位经营收入”“上级补助收入”和“附属单位上缴收入”等之外取得的各项收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6.上年结转：指以前年度尚未完成、结转到本年仍按原规定用途继续使用的资金。</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7.基本支出：是预算单位为保障其正常运转，完成日常工作任务所发生的支出，包括人员支出和日常公用支出。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8.项目支出：是预算单位为完成其特定的行政工作任务或事业发展目标所发生的支出。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9.经营支出：指事业单位在专业业务活动及其辅助活动之外开展非独立核算经营活动发生的支出。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料费、维修费、过桥过路费、保险费、安全奖励费用等支出；公务接待费反映单位按规定开支的各类公务接待（含外宾接待）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_GB2312" w:eastAsia="仿宋_GB2312"/>
          <w:b w:val="0"/>
          <w:bCs w:val="0"/>
          <w:sz w:val="32"/>
          <w:szCs w:val="32"/>
        </w:rPr>
      </w:pPr>
      <w:r>
        <w:rPr>
          <w:rFonts w:hint="eastAsia"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rPr>
        <w:t>.公共安全支出（类）法院（款）事业运行（项）：</w:t>
      </w:r>
      <w:r>
        <w:rPr>
          <w:rFonts w:hint="eastAsia" w:ascii="仿宋_GB2312" w:eastAsia="仿宋_GB2312"/>
          <w:b w:val="0"/>
          <w:bCs w:val="0"/>
          <w:sz w:val="32"/>
          <w:szCs w:val="32"/>
        </w:rPr>
        <w:t>指本院下属事业基本支出。</w:t>
      </w:r>
    </w:p>
    <w:p>
      <w:pPr>
        <w:ind w:firstLine="640" w:firstLineChars="200"/>
        <w:rPr>
          <w:rFonts w:hint="eastAsia" w:ascii="仿宋_GB2312" w:eastAsia="仿宋_GB2312"/>
          <w:b w:val="0"/>
          <w:bCs w:val="0"/>
          <w:sz w:val="32"/>
          <w:szCs w:val="32"/>
          <w:lang w:eastAsia="zh-CN"/>
        </w:rPr>
      </w:pPr>
      <w:r>
        <w:rPr>
          <w:rFonts w:hint="eastAsia" w:ascii="仿宋_GB2312" w:hAnsi="仿宋_GB2312" w:eastAsia="仿宋_GB2312" w:cs="仿宋_GB2312"/>
          <w:b w:val="0"/>
          <w:bCs w:val="0"/>
          <w:sz w:val="32"/>
          <w:szCs w:val="32"/>
          <w:lang w:val="en-US" w:eastAsia="zh-CN"/>
        </w:rPr>
        <w:t>13</w:t>
      </w:r>
      <w:r>
        <w:rPr>
          <w:rFonts w:hint="eastAsia" w:ascii="仿宋_GB2312" w:hAnsi="仿宋_GB2312" w:eastAsia="仿宋_GB2312" w:cs="仿宋_GB2312"/>
          <w:b w:val="0"/>
          <w:bCs w:val="0"/>
          <w:sz w:val="32"/>
          <w:szCs w:val="32"/>
        </w:rPr>
        <w:t>.社会保障和就业支出（类）行政事业单位</w:t>
      </w:r>
      <w:r>
        <w:rPr>
          <w:rFonts w:hint="eastAsia" w:ascii="仿宋_GB2312" w:hAnsi="仿宋_GB2312" w:eastAsia="仿宋_GB2312" w:cs="仿宋_GB2312"/>
          <w:b w:val="0"/>
          <w:bCs w:val="0"/>
          <w:sz w:val="32"/>
          <w:szCs w:val="32"/>
          <w:lang w:eastAsia="zh-CN"/>
        </w:rPr>
        <w:t>养老支出</w:t>
      </w:r>
      <w:r>
        <w:rPr>
          <w:rFonts w:hint="eastAsia" w:ascii="仿宋_GB2312" w:hAnsi="仿宋_GB2312" w:eastAsia="仿宋_GB2312" w:cs="仿宋_GB2312"/>
          <w:b w:val="0"/>
          <w:bCs w:val="0"/>
          <w:sz w:val="32"/>
          <w:szCs w:val="32"/>
        </w:rPr>
        <w:t>（款）机关事业单位基本养老保险缴费支出（项）：</w:t>
      </w:r>
      <w:r>
        <w:rPr>
          <w:rFonts w:hint="eastAsia" w:ascii="仿宋_GB2312" w:eastAsia="仿宋_GB2312"/>
          <w:b w:val="0"/>
          <w:bCs w:val="0"/>
          <w:sz w:val="32"/>
          <w:szCs w:val="32"/>
        </w:rPr>
        <w:t>指单位缴纳的基本养老保险费支出</w:t>
      </w:r>
      <w:r>
        <w:rPr>
          <w:rFonts w:hint="eastAsia" w:ascii="仿宋_GB2312" w:eastAsia="仿宋_GB2312"/>
          <w:b w:val="0"/>
          <w:bCs w:val="0"/>
          <w:sz w:val="32"/>
          <w:szCs w:val="32"/>
          <w:lang w:eastAsia="zh-CN"/>
        </w:rPr>
        <w:t>。</w:t>
      </w:r>
    </w:p>
    <w:p>
      <w:pPr>
        <w:ind w:firstLine="640" w:firstLineChars="200"/>
        <w:rPr>
          <w:rFonts w:hint="eastAsia" w:ascii="仿宋_GB2312" w:eastAsia="仿宋_GB2312"/>
          <w:b w:val="0"/>
          <w:bCs w:val="0"/>
          <w:sz w:val="32"/>
          <w:szCs w:val="32"/>
          <w:lang w:eastAsia="zh-CN"/>
        </w:rPr>
      </w:pPr>
      <w:r>
        <w:rPr>
          <w:rFonts w:hint="eastAsia" w:ascii="仿宋_GB2312" w:hAnsi="仿宋_GB2312" w:eastAsia="仿宋_GB2312" w:cs="仿宋_GB2312"/>
          <w:b w:val="0"/>
          <w:bCs w:val="0"/>
          <w:sz w:val="32"/>
          <w:szCs w:val="32"/>
          <w:lang w:val="en-US" w:eastAsia="zh-CN"/>
        </w:rPr>
        <w:t>14</w:t>
      </w:r>
      <w:r>
        <w:rPr>
          <w:rFonts w:hint="eastAsia" w:ascii="仿宋_GB2312" w:hAnsi="仿宋_GB2312" w:eastAsia="仿宋_GB2312" w:cs="仿宋_GB2312"/>
          <w:b w:val="0"/>
          <w:bCs w:val="0"/>
          <w:sz w:val="32"/>
          <w:szCs w:val="32"/>
        </w:rPr>
        <w:t>.社会保障和就业支出（类）行政事业单位</w:t>
      </w:r>
      <w:r>
        <w:rPr>
          <w:rFonts w:hint="eastAsia" w:ascii="仿宋_GB2312" w:hAnsi="仿宋_GB2312" w:eastAsia="仿宋_GB2312" w:cs="仿宋_GB2312"/>
          <w:b w:val="0"/>
          <w:bCs w:val="0"/>
          <w:sz w:val="32"/>
          <w:szCs w:val="32"/>
          <w:lang w:eastAsia="zh-CN"/>
        </w:rPr>
        <w:t>养老支出</w:t>
      </w:r>
      <w:r>
        <w:rPr>
          <w:rFonts w:hint="eastAsia" w:ascii="仿宋_GB2312" w:hAnsi="仿宋_GB2312" w:eastAsia="仿宋_GB2312" w:cs="仿宋_GB2312"/>
          <w:b w:val="0"/>
          <w:bCs w:val="0"/>
          <w:sz w:val="32"/>
          <w:szCs w:val="32"/>
        </w:rPr>
        <w:t>（款）机关事业单位职业年金缴费支出（项）：</w:t>
      </w:r>
      <w:r>
        <w:rPr>
          <w:rFonts w:hint="eastAsia" w:ascii="仿宋_GB2312" w:eastAsia="仿宋_GB2312"/>
          <w:b w:val="0"/>
          <w:bCs w:val="0"/>
          <w:sz w:val="32"/>
          <w:szCs w:val="32"/>
        </w:rPr>
        <w:t>指单位实际缴纳职业年金支出</w:t>
      </w:r>
      <w:r>
        <w:rPr>
          <w:rFonts w:hint="eastAsia" w:ascii="仿宋_GB2312" w:eastAsia="仿宋_GB2312"/>
          <w:b w:val="0"/>
          <w:bCs w:val="0"/>
          <w:sz w:val="32"/>
          <w:szCs w:val="32"/>
          <w:lang w:eastAsia="zh-CN"/>
        </w:rPr>
        <w:t>。</w:t>
      </w:r>
    </w:p>
    <w:p>
      <w:pPr>
        <w:ind w:firstLine="640" w:firstLineChars="200"/>
        <w:rPr>
          <w:rFonts w:ascii="仿宋_GB2312" w:eastAsia="仿宋_GB2312"/>
          <w:b w:val="0"/>
          <w:bCs w:val="0"/>
          <w:sz w:val="32"/>
          <w:szCs w:val="32"/>
        </w:rPr>
      </w:pPr>
      <w:r>
        <w:rPr>
          <w:rFonts w:hint="eastAsia" w:ascii="仿宋_GB2312" w:hAnsi="仿宋_GB2312" w:eastAsia="仿宋_GB2312" w:cs="仿宋_GB2312"/>
          <w:b w:val="0"/>
          <w:bCs w:val="0"/>
          <w:sz w:val="32"/>
          <w:szCs w:val="32"/>
          <w:lang w:val="en-US" w:eastAsia="zh-CN"/>
        </w:rPr>
        <w:t>15</w:t>
      </w:r>
      <w:r>
        <w:rPr>
          <w:rFonts w:hint="eastAsia" w:ascii="仿宋_GB2312" w:hAnsi="仿宋_GB2312" w:eastAsia="仿宋_GB2312" w:cs="仿宋_GB2312"/>
          <w:b w:val="0"/>
          <w:bCs w:val="0"/>
          <w:sz w:val="32"/>
          <w:szCs w:val="32"/>
        </w:rPr>
        <w:t>.社会保障和就业支出（类）行政事业单位</w:t>
      </w:r>
      <w:r>
        <w:rPr>
          <w:rFonts w:hint="eastAsia" w:ascii="仿宋_GB2312" w:hAnsi="仿宋_GB2312" w:eastAsia="仿宋_GB2312" w:cs="仿宋_GB2312"/>
          <w:b w:val="0"/>
          <w:bCs w:val="0"/>
          <w:sz w:val="32"/>
          <w:szCs w:val="32"/>
          <w:lang w:eastAsia="zh-CN"/>
        </w:rPr>
        <w:t>养老支出</w:t>
      </w:r>
      <w:r>
        <w:rPr>
          <w:rFonts w:hint="eastAsia" w:ascii="仿宋_GB2312" w:hAnsi="仿宋_GB2312" w:eastAsia="仿宋_GB2312" w:cs="仿宋_GB2312"/>
          <w:b w:val="0"/>
          <w:bCs w:val="0"/>
          <w:sz w:val="32"/>
          <w:szCs w:val="32"/>
        </w:rPr>
        <w:t>（款）其他行政事业单位</w:t>
      </w:r>
      <w:r>
        <w:rPr>
          <w:rFonts w:hint="eastAsia" w:ascii="仿宋_GB2312" w:hAnsi="仿宋_GB2312" w:eastAsia="仿宋_GB2312" w:cs="仿宋_GB2312"/>
          <w:b w:val="0"/>
          <w:bCs w:val="0"/>
          <w:sz w:val="32"/>
          <w:szCs w:val="32"/>
          <w:lang w:eastAsia="zh-CN"/>
        </w:rPr>
        <w:t>养老</w:t>
      </w:r>
      <w:r>
        <w:rPr>
          <w:rFonts w:hint="eastAsia" w:ascii="仿宋_GB2312" w:hAnsi="仿宋_GB2312" w:eastAsia="仿宋_GB2312" w:cs="仿宋_GB2312"/>
          <w:b w:val="0"/>
          <w:bCs w:val="0"/>
          <w:sz w:val="32"/>
          <w:szCs w:val="32"/>
        </w:rPr>
        <w:t>支出（项）：</w:t>
      </w:r>
      <w:r>
        <w:rPr>
          <w:rFonts w:hint="eastAsia" w:ascii="仿宋_GB2312" w:eastAsia="仿宋_GB2312"/>
          <w:b w:val="0"/>
          <w:bCs w:val="0"/>
          <w:sz w:val="32"/>
          <w:szCs w:val="32"/>
        </w:rPr>
        <w:t>指单位用于离退休方面支出。</w:t>
      </w:r>
    </w:p>
    <w:p>
      <w:pPr>
        <w:ind w:firstLine="640" w:firstLineChars="200"/>
        <w:rPr>
          <w:rFonts w:ascii="仿宋_GB2312" w:eastAsia="仿宋_GB2312"/>
          <w:b w:val="0"/>
          <w:bCs w:val="0"/>
          <w:sz w:val="32"/>
          <w:szCs w:val="32"/>
        </w:rPr>
      </w:pPr>
      <w:r>
        <w:rPr>
          <w:rFonts w:hint="eastAsia" w:ascii="仿宋_GB2312" w:hAnsi="仿宋_GB2312" w:eastAsia="仿宋_GB2312" w:cs="仿宋_GB2312"/>
          <w:b w:val="0"/>
          <w:bCs w:val="0"/>
          <w:sz w:val="32"/>
          <w:szCs w:val="32"/>
          <w:lang w:val="en-US" w:eastAsia="zh-CN"/>
        </w:rPr>
        <w:t>16</w:t>
      </w:r>
      <w:r>
        <w:rPr>
          <w:rFonts w:hint="eastAsia" w:ascii="仿宋_GB2312" w:hAnsi="仿宋_GB2312" w:eastAsia="仿宋_GB2312" w:cs="仿宋_GB2312"/>
          <w:b w:val="0"/>
          <w:bCs w:val="0"/>
          <w:sz w:val="32"/>
          <w:szCs w:val="32"/>
        </w:rPr>
        <w:t>.卫生健康支出（类）行政事业单位医疗（款）事业单位医疗（项）：</w:t>
      </w:r>
      <w:r>
        <w:rPr>
          <w:rFonts w:hint="eastAsia" w:ascii="仿宋_GB2312" w:eastAsia="仿宋_GB2312"/>
          <w:b w:val="0"/>
          <w:bCs w:val="0"/>
          <w:sz w:val="32"/>
          <w:szCs w:val="32"/>
        </w:rPr>
        <w:t>指事业单位缴纳医疗保险费支出。</w:t>
      </w:r>
    </w:p>
    <w:p>
      <w:pPr>
        <w:ind w:firstLine="640" w:firstLineChars="200"/>
        <w:rPr>
          <w:rFonts w:ascii="仿宋_GB2312" w:eastAsia="仿宋_GB2312"/>
          <w:b w:val="0"/>
          <w:bCs w:val="0"/>
          <w:sz w:val="32"/>
          <w:szCs w:val="32"/>
        </w:rPr>
      </w:pPr>
      <w:r>
        <w:rPr>
          <w:rFonts w:hint="eastAsia" w:ascii="仿宋_GB2312" w:hAnsi="仿宋_GB2312" w:eastAsia="仿宋_GB2312" w:cs="仿宋_GB2312"/>
          <w:b w:val="0"/>
          <w:bCs w:val="0"/>
          <w:sz w:val="32"/>
          <w:szCs w:val="32"/>
          <w:lang w:val="en-US" w:eastAsia="zh-CN"/>
        </w:rPr>
        <w:t>17</w:t>
      </w:r>
      <w:r>
        <w:rPr>
          <w:rFonts w:hint="eastAsia" w:ascii="仿宋_GB2312" w:hAnsi="仿宋_GB2312" w:eastAsia="仿宋_GB2312" w:cs="仿宋_GB2312"/>
          <w:b w:val="0"/>
          <w:bCs w:val="0"/>
          <w:sz w:val="32"/>
          <w:szCs w:val="32"/>
        </w:rPr>
        <w:t>.住房保障支出（类）住房改革支出（款）住房公积金（项）：</w:t>
      </w:r>
      <w:r>
        <w:rPr>
          <w:rFonts w:hint="eastAsia" w:ascii="仿宋_GB2312" w:eastAsia="仿宋_GB2312"/>
          <w:b w:val="0"/>
          <w:bCs w:val="0"/>
          <w:sz w:val="32"/>
          <w:szCs w:val="32"/>
        </w:rPr>
        <w:t>指单位为职工缴纳的住房公积金支出。</w:t>
      </w:r>
    </w:p>
    <w:p>
      <w:pPr>
        <w:spacing w:line="520" w:lineRule="exact"/>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5A99C"/>
    <w:multiLevelType w:val="singleLevel"/>
    <w:tmpl w:val="5895A99C"/>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453C"/>
    <w:rsid w:val="00037FBA"/>
    <w:rsid w:val="00084C3B"/>
    <w:rsid w:val="000F6704"/>
    <w:rsid w:val="0014553D"/>
    <w:rsid w:val="00151805"/>
    <w:rsid w:val="0018453C"/>
    <w:rsid w:val="001C6D6F"/>
    <w:rsid w:val="001D7273"/>
    <w:rsid w:val="001F186B"/>
    <w:rsid w:val="0025199F"/>
    <w:rsid w:val="00262BFB"/>
    <w:rsid w:val="002E190E"/>
    <w:rsid w:val="00312421"/>
    <w:rsid w:val="0034320B"/>
    <w:rsid w:val="0035041B"/>
    <w:rsid w:val="00352D79"/>
    <w:rsid w:val="003533AA"/>
    <w:rsid w:val="00372A55"/>
    <w:rsid w:val="003A54FF"/>
    <w:rsid w:val="003E68CE"/>
    <w:rsid w:val="004C1A7E"/>
    <w:rsid w:val="004E07B6"/>
    <w:rsid w:val="004F65D0"/>
    <w:rsid w:val="004F6D96"/>
    <w:rsid w:val="0054517F"/>
    <w:rsid w:val="0055355B"/>
    <w:rsid w:val="00576237"/>
    <w:rsid w:val="005B1AB5"/>
    <w:rsid w:val="005D0D77"/>
    <w:rsid w:val="005E0A27"/>
    <w:rsid w:val="005E47B3"/>
    <w:rsid w:val="005E7D52"/>
    <w:rsid w:val="00655F61"/>
    <w:rsid w:val="006B2E4F"/>
    <w:rsid w:val="006C39E2"/>
    <w:rsid w:val="006D5442"/>
    <w:rsid w:val="006D7FE3"/>
    <w:rsid w:val="006E085B"/>
    <w:rsid w:val="006F455E"/>
    <w:rsid w:val="007072D9"/>
    <w:rsid w:val="00731A0A"/>
    <w:rsid w:val="0073245A"/>
    <w:rsid w:val="00755A48"/>
    <w:rsid w:val="007715EF"/>
    <w:rsid w:val="007A0C65"/>
    <w:rsid w:val="007B431F"/>
    <w:rsid w:val="007D24B2"/>
    <w:rsid w:val="007E4CC3"/>
    <w:rsid w:val="00801E01"/>
    <w:rsid w:val="00823268"/>
    <w:rsid w:val="00834DDF"/>
    <w:rsid w:val="00850DC9"/>
    <w:rsid w:val="0089440C"/>
    <w:rsid w:val="00937AE8"/>
    <w:rsid w:val="009415A1"/>
    <w:rsid w:val="009427F2"/>
    <w:rsid w:val="009A7459"/>
    <w:rsid w:val="009B71E7"/>
    <w:rsid w:val="00A76362"/>
    <w:rsid w:val="00A86842"/>
    <w:rsid w:val="00AB2741"/>
    <w:rsid w:val="00B109C2"/>
    <w:rsid w:val="00B85FDA"/>
    <w:rsid w:val="00BA6311"/>
    <w:rsid w:val="00C35F38"/>
    <w:rsid w:val="00C35FDD"/>
    <w:rsid w:val="00C47BB8"/>
    <w:rsid w:val="00C50353"/>
    <w:rsid w:val="00C52D1F"/>
    <w:rsid w:val="00CC1B9F"/>
    <w:rsid w:val="00CE3F52"/>
    <w:rsid w:val="00D7617F"/>
    <w:rsid w:val="00D81B35"/>
    <w:rsid w:val="00DA6F5B"/>
    <w:rsid w:val="00DA7F84"/>
    <w:rsid w:val="00E16F71"/>
    <w:rsid w:val="00E20FB4"/>
    <w:rsid w:val="00E40834"/>
    <w:rsid w:val="00E429D8"/>
    <w:rsid w:val="00E44C58"/>
    <w:rsid w:val="00E61E40"/>
    <w:rsid w:val="00E925CD"/>
    <w:rsid w:val="00E95C9E"/>
    <w:rsid w:val="00ED0384"/>
    <w:rsid w:val="00F23B56"/>
    <w:rsid w:val="00F56A05"/>
    <w:rsid w:val="00F7116F"/>
    <w:rsid w:val="01405C62"/>
    <w:rsid w:val="01F263DB"/>
    <w:rsid w:val="01F648EB"/>
    <w:rsid w:val="024C6702"/>
    <w:rsid w:val="026505B4"/>
    <w:rsid w:val="028630A1"/>
    <w:rsid w:val="02FD4879"/>
    <w:rsid w:val="038C7FF1"/>
    <w:rsid w:val="03A9225F"/>
    <w:rsid w:val="03AA3E3B"/>
    <w:rsid w:val="03EA5C50"/>
    <w:rsid w:val="04030C52"/>
    <w:rsid w:val="04600135"/>
    <w:rsid w:val="05054F3D"/>
    <w:rsid w:val="05F46152"/>
    <w:rsid w:val="05F835B0"/>
    <w:rsid w:val="06113422"/>
    <w:rsid w:val="063B27DE"/>
    <w:rsid w:val="065E25EC"/>
    <w:rsid w:val="06835E42"/>
    <w:rsid w:val="07487AC1"/>
    <w:rsid w:val="07623DA7"/>
    <w:rsid w:val="081119C7"/>
    <w:rsid w:val="083755AA"/>
    <w:rsid w:val="08DE4DFD"/>
    <w:rsid w:val="0A1D1E06"/>
    <w:rsid w:val="0A4C7CCD"/>
    <w:rsid w:val="0B486D9D"/>
    <w:rsid w:val="0B4F52A1"/>
    <w:rsid w:val="0B652DFD"/>
    <w:rsid w:val="0B654246"/>
    <w:rsid w:val="0BD448F3"/>
    <w:rsid w:val="0C7B7749"/>
    <w:rsid w:val="0CE2397A"/>
    <w:rsid w:val="0CEE5818"/>
    <w:rsid w:val="0DDF3EA9"/>
    <w:rsid w:val="0F0A0BC6"/>
    <w:rsid w:val="0F216C64"/>
    <w:rsid w:val="0F3E23E2"/>
    <w:rsid w:val="0F5C4EB1"/>
    <w:rsid w:val="0F760C96"/>
    <w:rsid w:val="0F8B51E9"/>
    <w:rsid w:val="106B2554"/>
    <w:rsid w:val="1085571C"/>
    <w:rsid w:val="12970A77"/>
    <w:rsid w:val="12D300E7"/>
    <w:rsid w:val="136B79EF"/>
    <w:rsid w:val="13811EEE"/>
    <w:rsid w:val="13FF3975"/>
    <w:rsid w:val="14861683"/>
    <w:rsid w:val="14887B46"/>
    <w:rsid w:val="14EF3497"/>
    <w:rsid w:val="153C45B3"/>
    <w:rsid w:val="157947AC"/>
    <w:rsid w:val="15DB09EF"/>
    <w:rsid w:val="1650535C"/>
    <w:rsid w:val="16B75B8F"/>
    <w:rsid w:val="16FE1938"/>
    <w:rsid w:val="170C3948"/>
    <w:rsid w:val="17EC7FC1"/>
    <w:rsid w:val="17F81734"/>
    <w:rsid w:val="180061CB"/>
    <w:rsid w:val="18154C5A"/>
    <w:rsid w:val="18EF3804"/>
    <w:rsid w:val="195C3A7E"/>
    <w:rsid w:val="1A2375F0"/>
    <w:rsid w:val="1AC0275A"/>
    <w:rsid w:val="1AE500E3"/>
    <w:rsid w:val="1B1D1342"/>
    <w:rsid w:val="1B2A6629"/>
    <w:rsid w:val="1BBC2184"/>
    <w:rsid w:val="1C103D2D"/>
    <w:rsid w:val="1C1965EC"/>
    <w:rsid w:val="1C7701B9"/>
    <w:rsid w:val="1CEA3F89"/>
    <w:rsid w:val="1CF73295"/>
    <w:rsid w:val="1D451326"/>
    <w:rsid w:val="1D5F4748"/>
    <w:rsid w:val="1D99665F"/>
    <w:rsid w:val="1E4410A6"/>
    <w:rsid w:val="1E621D9B"/>
    <w:rsid w:val="1E9448CB"/>
    <w:rsid w:val="1E945AB3"/>
    <w:rsid w:val="1EFB5835"/>
    <w:rsid w:val="1F8A1433"/>
    <w:rsid w:val="1FD94E57"/>
    <w:rsid w:val="205247F6"/>
    <w:rsid w:val="206501BF"/>
    <w:rsid w:val="20C21B5F"/>
    <w:rsid w:val="20D8491F"/>
    <w:rsid w:val="2163103A"/>
    <w:rsid w:val="217D79B3"/>
    <w:rsid w:val="219B3B12"/>
    <w:rsid w:val="21F8300E"/>
    <w:rsid w:val="229D1538"/>
    <w:rsid w:val="22D4227E"/>
    <w:rsid w:val="22FA27EC"/>
    <w:rsid w:val="230477A4"/>
    <w:rsid w:val="234550B7"/>
    <w:rsid w:val="2384696C"/>
    <w:rsid w:val="23B968AE"/>
    <w:rsid w:val="240772FF"/>
    <w:rsid w:val="24183DF0"/>
    <w:rsid w:val="247778DD"/>
    <w:rsid w:val="247A77A8"/>
    <w:rsid w:val="24D6630F"/>
    <w:rsid w:val="24F84929"/>
    <w:rsid w:val="252A0A7B"/>
    <w:rsid w:val="257B506C"/>
    <w:rsid w:val="25AF42DB"/>
    <w:rsid w:val="25B348BA"/>
    <w:rsid w:val="25DE1005"/>
    <w:rsid w:val="25FD2566"/>
    <w:rsid w:val="26816946"/>
    <w:rsid w:val="26DB7398"/>
    <w:rsid w:val="27033FBD"/>
    <w:rsid w:val="2705728B"/>
    <w:rsid w:val="27417BF8"/>
    <w:rsid w:val="27693B45"/>
    <w:rsid w:val="283A129B"/>
    <w:rsid w:val="28FE78EF"/>
    <w:rsid w:val="29672817"/>
    <w:rsid w:val="29954B63"/>
    <w:rsid w:val="29A41943"/>
    <w:rsid w:val="29B831E7"/>
    <w:rsid w:val="29DF16A7"/>
    <w:rsid w:val="29F74F67"/>
    <w:rsid w:val="2A484907"/>
    <w:rsid w:val="2B755902"/>
    <w:rsid w:val="2BA81833"/>
    <w:rsid w:val="2BAC3F70"/>
    <w:rsid w:val="2BB02AB9"/>
    <w:rsid w:val="2C2E6599"/>
    <w:rsid w:val="2C56166B"/>
    <w:rsid w:val="2C772798"/>
    <w:rsid w:val="2CE33635"/>
    <w:rsid w:val="2D391980"/>
    <w:rsid w:val="2D7C6F9A"/>
    <w:rsid w:val="2ED263DE"/>
    <w:rsid w:val="2F312BD6"/>
    <w:rsid w:val="2F4F315F"/>
    <w:rsid w:val="2F5260FE"/>
    <w:rsid w:val="2F78760A"/>
    <w:rsid w:val="30780EC9"/>
    <w:rsid w:val="31651329"/>
    <w:rsid w:val="31C46552"/>
    <w:rsid w:val="31EC7268"/>
    <w:rsid w:val="32691E0F"/>
    <w:rsid w:val="33722AF4"/>
    <w:rsid w:val="339F6CDD"/>
    <w:rsid w:val="344952F9"/>
    <w:rsid w:val="34F20284"/>
    <w:rsid w:val="35345284"/>
    <w:rsid w:val="3619346A"/>
    <w:rsid w:val="366152C5"/>
    <w:rsid w:val="37DD34EA"/>
    <w:rsid w:val="3859649B"/>
    <w:rsid w:val="386D2696"/>
    <w:rsid w:val="38CA384A"/>
    <w:rsid w:val="39227B1B"/>
    <w:rsid w:val="39406911"/>
    <w:rsid w:val="396632CC"/>
    <w:rsid w:val="39850296"/>
    <w:rsid w:val="39C26750"/>
    <w:rsid w:val="3A7F1D43"/>
    <w:rsid w:val="3A8D223E"/>
    <w:rsid w:val="3B291386"/>
    <w:rsid w:val="3B563038"/>
    <w:rsid w:val="3B7A306D"/>
    <w:rsid w:val="3B80307E"/>
    <w:rsid w:val="3BCA7BD7"/>
    <w:rsid w:val="3C51176C"/>
    <w:rsid w:val="3C6C37E2"/>
    <w:rsid w:val="3C7D1C3F"/>
    <w:rsid w:val="3CEA3E5A"/>
    <w:rsid w:val="3CFD6A0C"/>
    <w:rsid w:val="3DA20F6E"/>
    <w:rsid w:val="3DDA1E4D"/>
    <w:rsid w:val="400943B7"/>
    <w:rsid w:val="40143523"/>
    <w:rsid w:val="406B2735"/>
    <w:rsid w:val="4171469C"/>
    <w:rsid w:val="42C454C8"/>
    <w:rsid w:val="43482ADF"/>
    <w:rsid w:val="43497E11"/>
    <w:rsid w:val="438C52D1"/>
    <w:rsid w:val="43AF1DC7"/>
    <w:rsid w:val="442360D8"/>
    <w:rsid w:val="450B3104"/>
    <w:rsid w:val="45374F70"/>
    <w:rsid w:val="45A32D85"/>
    <w:rsid w:val="45E922E2"/>
    <w:rsid w:val="46181B9F"/>
    <w:rsid w:val="46B73DB3"/>
    <w:rsid w:val="46B85A12"/>
    <w:rsid w:val="46C20ABF"/>
    <w:rsid w:val="471C5409"/>
    <w:rsid w:val="475E76EE"/>
    <w:rsid w:val="47B54AE2"/>
    <w:rsid w:val="484652C3"/>
    <w:rsid w:val="48524FC1"/>
    <w:rsid w:val="489E735B"/>
    <w:rsid w:val="48EF215B"/>
    <w:rsid w:val="49547ADE"/>
    <w:rsid w:val="499358EA"/>
    <w:rsid w:val="49A70025"/>
    <w:rsid w:val="4A2962F8"/>
    <w:rsid w:val="4A9518DB"/>
    <w:rsid w:val="4AB935E6"/>
    <w:rsid w:val="4B1F601E"/>
    <w:rsid w:val="4B65339C"/>
    <w:rsid w:val="4BE2220E"/>
    <w:rsid w:val="4CBF2857"/>
    <w:rsid w:val="4CF82AE4"/>
    <w:rsid w:val="4D097364"/>
    <w:rsid w:val="4D667BB3"/>
    <w:rsid w:val="4D7808AB"/>
    <w:rsid w:val="4DC87963"/>
    <w:rsid w:val="4E0626FD"/>
    <w:rsid w:val="4EA45B39"/>
    <w:rsid w:val="4EED2017"/>
    <w:rsid w:val="4F2E2211"/>
    <w:rsid w:val="4F4E78CD"/>
    <w:rsid w:val="4FA62E1E"/>
    <w:rsid w:val="4FAC0AB2"/>
    <w:rsid w:val="4FC809F8"/>
    <w:rsid w:val="4FE85961"/>
    <w:rsid w:val="50072C4D"/>
    <w:rsid w:val="50341189"/>
    <w:rsid w:val="50837233"/>
    <w:rsid w:val="508652D4"/>
    <w:rsid w:val="514C5668"/>
    <w:rsid w:val="51513799"/>
    <w:rsid w:val="518C29B6"/>
    <w:rsid w:val="52170DB7"/>
    <w:rsid w:val="52AA23A8"/>
    <w:rsid w:val="52B7187A"/>
    <w:rsid w:val="52BF3A93"/>
    <w:rsid w:val="53A5465B"/>
    <w:rsid w:val="53B6028C"/>
    <w:rsid w:val="54392B16"/>
    <w:rsid w:val="54442E65"/>
    <w:rsid w:val="545B2AA1"/>
    <w:rsid w:val="549B5701"/>
    <w:rsid w:val="54A9277D"/>
    <w:rsid w:val="55182E77"/>
    <w:rsid w:val="553F16B7"/>
    <w:rsid w:val="558856A9"/>
    <w:rsid w:val="55CA2A9E"/>
    <w:rsid w:val="55CA3B80"/>
    <w:rsid w:val="55E50F1B"/>
    <w:rsid w:val="565F6886"/>
    <w:rsid w:val="56BC237C"/>
    <w:rsid w:val="56CD4B4D"/>
    <w:rsid w:val="575C7815"/>
    <w:rsid w:val="5798381B"/>
    <w:rsid w:val="57D4447A"/>
    <w:rsid w:val="57F759F2"/>
    <w:rsid w:val="585447AE"/>
    <w:rsid w:val="58AF736D"/>
    <w:rsid w:val="58EC4DE1"/>
    <w:rsid w:val="596B72CE"/>
    <w:rsid w:val="59B3494A"/>
    <w:rsid w:val="59EB1B1F"/>
    <w:rsid w:val="59EC6E24"/>
    <w:rsid w:val="5A0B2520"/>
    <w:rsid w:val="5A186813"/>
    <w:rsid w:val="5A3B2376"/>
    <w:rsid w:val="5A40591F"/>
    <w:rsid w:val="5A6F0692"/>
    <w:rsid w:val="5ABF2E42"/>
    <w:rsid w:val="5B586398"/>
    <w:rsid w:val="5B916903"/>
    <w:rsid w:val="5BEF472E"/>
    <w:rsid w:val="5C932202"/>
    <w:rsid w:val="5CC87E6F"/>
    <w:rsid w:val="5CD918EA"/>
    <w:rsid w:val="5D247D3D"/>
    <w:rsid w:val="5DAE1AC9"/>
    <w:rsid w:val="5E153AF5"/>
    <w:rsid w:val="5F0E1E7F"/>
    <w:rsid w:val="5F112305"/>
    <w:rsid w:val="5F2767B3"/>
    <w:rsid w:val="5FE31F70"/>
    <w:rsid w:val="60045498"/>
    <w:rsid w:val="614C1844"/>
    <w:rsid w:val="617A6C2D"/>
    <w:rsid w:val="618968F0"/>
    <w:rsid w:val="619E6355"/>
    <w:rsid w:val="61BD64DA"/>
    <w:rsid w:val="6215384D"/>
    <w:rsid w:val="627460EE"/>
    <w:rsid w:val="62AC06BC"/>
    <w:rsid w:val="6339758E"/>
    <w:rsid w:val="633B4987"/>
    <w:rsid w:val="63525D55"/>
    <w:rsid w:val="63F321C7"/>
    <w:rsid w:val="646D7F6D"/>
    <w:rsid w:val="64C20A08"/>
    <w:rsid w:val="64F06443"/>
    <w:rsid w:val="65737FB9"/>
    <w:rsid w:val="65DF5ECF"/>
    <w:rsid w:val="661D7FD4"/>
    <w:rsid w:val="665A45AE"/>
    <w:rsid w:val="66A662C4"/>
    <w:rsid w:val="66DE2D4E"/>
    <w:rsid w:val="67222B8A"/>
    <w:rsid w:val="677013EE"/>
    <w:rsid w:val="679D182D"/>
    <w:rsid w:val="67BB6396"/>
    <w:rsid w:val="68794E30"/>
    <w:rsid w:val="687B5327"/>
    <w:rsid w:val="688621C1"/>
    <w:rsid w:val="68C15BDE"/>
    <w:rsid w:val="6AD23ACD"/>
    <w:rsid w:val="6AE706B2"/>
    <w:rsid w:val="6B103823"/>
    <w:rsid w:val="6B315A81"/>
    <w:rsid w:val="6C3F4637"/>
    <w:rsid w:val="6C9D07C7"/>
    <w:rsid w:val="6CB426A8"/>
    <w:rsid w:val="6D306726"/>
    <w:rsid w:val="6D3835CD"/>
    <w:rsid w:val="6D9B59D3"/>
    <w:rsid w:val="6DDF18A8"/>
    <w:rsid w:val="6E7742D5"/>
    <w:rsid w:val="6E947A29"/>
    <w:rsid w:val="6EFB1E55"/>
    <w:rsid w:val="701E0D35"/>
    <w:rsid w:val="708C2BAE"/>
    <w:rsid w:val="70DD3355"/>
    <w:rsid w:val="717A54B6"/>
    <w:rsid w:val="71E47115"/>
    <w:rsid w:val="72124418"/>
    <w:rsid w:val="72BF52A3"/>
    <w:rsid w:val="73520170"/>
    <w:rsid w:val="73B32D5B"/>
    <w:rsid w:val="74906E74"/>
    <w:rsid w:val="74D2633E"/>
    <w:rsid w:val="75127B2A"/>
    <w:rsid w:val="756B70AB"/>
    <w:rsid w:val="762D45E7"/>
    <w:rsid w:val="76432C97"/>
    <w:rsid w:val="76472E5B"/>
    <w:rsid w:val="76622032"/>
    <w:rsid w:val="76DA2B8D"/>
    <w:rsid w:val="773F1B2E"/>
    <w:rsid w:val="776141C0"/>
    <w:rsid w:val="77E71EE7"/>
    <w:rsid w:val="78403651"/>
    <w:rsid w:val="784051C1"/>
    <w:rsid w:val="789E16E5"/>
    <w:rsid w:val="78B46BDD"/>
    <w:rsid w:val="78DB40C6"/>
    <w:rsid w:val="7954401D"/>
    <w:rsid w:val="79547EF1"/>
    <w:rsid w:val="79A24C96"/>
    <w:rsid w:val="7A710AC5"/>
    <w:rsid w:val="7AC02D1F"/>
    <w:rsid w:val="7AE80A7B"/>
    <w:rsid w:val="7AE861A8"/>
    <w:rsid w:val="7B452E9A"/>
    <w:rsid w:val="7B5E14E4"/>
    <w:rsid w:val="7B741965"/>
    <w:rsid w:val="7BBF78B4"/>
    <w:rsid w:val="7BFE30BC"/>
    <w:rsid w:val="7C0A7BF1"/>
    <w:rsid w:val="7C655131"/>
    <w:rsid w:val="7CD24C07"/>
    <w:rsid w:val="7CDD0037"/>
    <w:rsid w:val="7D2C5AF6"/>
    <w:rsid w:val="7D8F4D87"/>
    <w:rsid w:val="7DBB66FE"/>
    <w:rsid w:val="7DBE27C1"/>
    <w:rsid w:val="7DCA5F0F"/>
    <w:rsid w:val="7E1F736F"/>
    <w:rsid w:val="7E300305"/>
    <w:rsid w:val="7E7D74C3"/>
    <w:rsid w:val="7F346A78"/>
    <w:rsid w:val="7FA57776"/>
    <w:rsid w:val="7FC25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paragraph" w:customStyle="1" w:styleId="11">
    <w:name w:val="Char"/>
    <w:basedOn w:val="1"/>
    <w:qFormat/>
    <w:uiPriority w:val="0"/>
    <w:rPr>
      <w:rFonts w:ascii="宋体" w:hAnsi="宋体" w:cs="Courier New"/>
      <w:sz w:val="32"/>
      <w:szCs w:val="32"/>
    </w:rPr>
  </w:style>
  <w:style w:type="character" w:customStyle="1" w:styleId="12">
    <w:name w:val="页眉 Char"/>
    <w:link w:val="5"/>
    <w:qFormat/>
    <w:uiPriority w:val="0"/>
    <w:rPr>
      <w:kern w:val="2"/>
      <w:sz w:val="18"/>
      <w:szCs w:val="18"/>
    </w:rPr>
  </w:style>
  <w:style w:type="character" w:customStyle="1" w:styleId="13">
    <w:name w:val="页脚 Char"/>
    <w:link w:val="4"/>
    <w:qFormat/>
    <w:uiPriority w:val="0"/>
    <w:rPr>
      <w:kern w:val="2"/>
      <w:sz w:val="18"/>
      <w:szCs w:val="18"/>
    </w:rPr>
  </w:style>
  <w:style w:type="paragraph" w:customStyle="1" w:styleId="14">
    <w:name w:val="[Normal]"/>
    <w:qFormat/>
    <w:uiPriority w:val="0"/>
    <w:rPr>
      <w:rFonts w:ascii="宋体" w:hAnsi="宋体" w:eastAsia="宋体" w:cs="Times New Roman"/>
      <w:sz w:val="24"/>
      <w:lang w:val="zh-CN" w:eastAsia="zh-CN" w:bidi="ar-SA"/>
    </w:rPr>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xc</Company>
  <Pages>19</Pages>
  <Words>9615</Words>
  <Characters>17507</Characters>
  <Lines>145</Lines>
  <Paragraphs>54</Paragraphs>
  <TotalTime>5</TotalTime>
  <ScaleCrop>false</ScaleCrop>
  <LinksUpToDate>false</LinksUpToDate>
  <CharactersWithSpaces>27068</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2020-01-06T08:45:00Z</dcterms:created>
  <dc:creator>dsx</dc:creator>
  <cp:lastModifiedBy>Administrator</cp:lastModifiedBy>
  <dcterms:modified xsi:type="dcterms:W3CDTF">2024-03-22T02:55:23Z</dcterms:modified>
  <dc:title>关于2019年部门预算的批复</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EDOID">
    <vt:r8>5838458</vt:r8>
  </property>
  <property fmtid="{D5CDD505-2E9C-101B-9397-08002B2CF9AE}" pid="4" name="ICV">
    <vt:lpwstr>E7E435903E954F16B3A6550F30CE4D1E</vt:lpwstr>
  </property>
</Properties>
</file>