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fldChar w:fldCharType="begin"/>
      </w:r>
      <w:r>
        <w:rPr>
          <w:rFonts w:hint="eastAsia" w:ascii="方正小标宋简体" w:hAnsi="方正小标宋简体" w:eastAsia="方正小标宋简体" w:cs="方正小标宋简体"/>
          <w:bCs/>
          <w:spacing w:val="15"/>
          <w:sz w:val="44"/>
          <w:szCs w:val="44"/>
          <w:highlight w:val="none"/>
          <w:lang w:val="en-US" w:eastAsia="zh-CN"/>
        </w:rPr>
        <w:instrText xml:space="preserve">MERGEFIELD ${page855778723.ds388518707_V_RPT_BAS_AGENCY_INFO_NAME}</w:instrText>
      </w:r>
      <w:r>
        <w:rPr>
          <w:rFonts w:hint="eastAsia" w:ascii="方正小标宋简体" w:hAnsi="方正小标宋简体" w:eastAsia="方正小标宋简体" w:cs="方正小标宋简体"/>
          <w:bCs/>
          <w:spacing w:val="15"/>
          <w:sz w:val="44"/>
          <w:szCs w:val="44"/>
          <w:highlight w:val="none"/>
          <w:lang w:val="en-US" w:eastAsia="zh-CN"/>
        </w:rPr>
        <w:fldChar w:fldCharType="separate"/>
      </w:r>
      <w:r>
        <w:rPr>
          <w:rFonts w:hint="eastAsia" w:ascii="方正小标宋简体" w:hAnsi="方正小标宋简体" w:eastAsia="方正小标宋简体" w:cs="方正小标宋简体"/>
          <w:bCs/>
          <w:spacing w:val="15"/>
          <w:sz w:val="44"/>
          <w:szCs w:val="44"/>
          <w:highlight w:val="none"/>
          <w:lang w:val="en-US" w:eastAsia="zh-CN"/>
        </w:rPr>
        <w:t>丽水市莲都区人民法院</w:t>
      </w:r>
      <w:r>
        <w:fldChar w:fldCharType="end"/>
      </w:r>
      <w:r>
        <w:rPr>
          <w:rFonts w:hint="eastAsia" w:ascii="方正小标宋简体" w:hAnsi="方正小标宋简体" w:eastAsia="方正小标宋简体" w:cs="方正小标宋简体"/>
          <w:bCs/>
          <w:spacing w:val="15"/>
          <w:sz w:val="44"/>
          <w:szCs w:val="44"/>
          <w:highlight w:val="none"/>
          <w:lang w:val="en-US" w:eastAsia="zh-CN"/>
        </w:rPr>
        <w:t>2023</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11"/>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default" w:ascii="黑体" w:eastAsia="黑体"/>
          <w:b w:val="0"/>
          <w:color w:val="000000"/>
          <w:sz w:val="32"/>
          <w:szCs w:val="32"/>
          <w:highlight w:val="none"/>
          <w:lang w:val="en-US" w:eastAsia="zh-CN"/>
        </w:rPr>
      </w:pPr>
      <w:r>
        <w:rPr>
          <w:rStyle w:val="11"/>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highlight w:val="none"/>
          <w:lang w:eastAsia="zh-CN"/>
        </w:rPr>
        <w:t>单位</w:t>
      </w:r>
      <w:r>
        <w:rPr>
          <w:rStyle w:val="11"/>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hAnsi="Calibri" w:eastAsia="黑体" w:cs="Times New Roman"/>
          <w:b w:val="0"/>
          <w:color w:val="000000"/>
          <w:kern w:val="2"/>
          <w:sz w:val="32"/>
          <w:szCs w:val="32"/>
          <w:highlight w:val="none"/>
          <w:lang w:val="en-US" w:eastAsia="zh-CN" w:bidi="ar-SA"/>
        </w:rPr>
      </w:pPr>
      <w:r>
        <w:rPr>
          <w:rStyle w:val="11"/>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（一）2023年单位收支预算总表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（二）2023年单位收入预算总表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（三）2023年单位支出预算总表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（四）2023年单位财政拨款收支预算总表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（五）2023年单位一般公共预算支出表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（六）2023年单位一般公共预算基本支出表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（七）2023年单位一般公共预算“三公”经费支出表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（八）2023年单位政府性基金预算支出表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（九）2023年单位国有资本经营预算支出表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（十）2023年单位项目支出预算表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tabs>
          <w:tab w:val="left" w:pos="2608"/>
        </w:tabs>
        <w:rPr>
          <w:rStyle w:val="11"/>
          <w:rFonts w:hint="eastAsia" w:ascii="黑体" w:eastAsia="黑体"/>
          <w:b w:val="0"/>
          <w:color w:val="000000"/>
          <w:sz w:val="32"/>
          <w:szCs w:val="32"/>
          <w:highlight w:val="none"/>
          <w:lang w:eastAsia="zh-CN"/>
        </w:rPr>
      </w:pPr>
    </w:p>
    <w:p>
      <w:pPr>
        <w:pStyle w:val="2"/>
        <w:tabs>
          <w:tab w:val="left" w:pos="2608"/>
        </w:tabs>
        <w:rPr>
          <w:rStyle w:val="11"/>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highlight w:val="none"/>
        </w:rPr>
      </w:pPr>
      <w:r>
        <w:rPr>
          <w:rStyle w:val="11"/>
          <w:rFonts w:hint="eastAsia" w:ascii="黑体" w:eastAsia="黑体"/>
          <w:b w:val="0"/>
          <w:color w:val="000000"/>
          <w:sz w:val="32"/>
          <w:szCs w:val="32"/>
          <w:highlight w:val="none"/>
        </w:rPr>
        <w:t>一、</w:t>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w:t>
      </w:r>
      <w:r>
        <w:rPr>
          <w:rStyle w:val="11"/>
          <w:rFonts w:hint="eastAsia" w:ascii="仿宋_GB2312" w:hAnsi="仿宋_GB2312" w:eastAsia="仿宋_GB2312" w:cs="仿宋_GB2312"/>
          <w:b w:val="0"/>
          <w:bCs w:val="0"/>
          <w:color w:val="000000"/>
          <w:sz w:val="32"/>
          <w:szCs w:val="32"/>
          <w:shd w:val="clear" w:color="auto" w:fill="FFFFFF"/>
        </w:rPr>
        <w:t>立案庭（诉讼服务中心）</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负责登记立案、涉诉信访、导诉接待、材料接转、法律文书送达、档案查询、法律咨询、诉前引导、诉前保全受理及裁决；负责本院民商事案件繁简分流、立案调解；办理适用督促程序、公示催告程序等案件。</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2.刑事审判庭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负责审判由本院管辖的刑事公诉和自诉案件；对案件审理中发现的问题，提出司法建议；做好少年犯的教育、感化、挽救工作；办理其他有关事项。</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3.民事审判一庭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负责审理本院疑难复杂的民商事案件和企业破产等特殊类型案件；对案件审理中发现的问题，提出司法建议；指导人民法庭的民事审判工作；办理其他有关事项。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4.民事审判二庭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负责审理本院繁案以外的简单民商事案件；负责家事审判工作；对案件审理中发现的问题，提出司法建议；办理其他有关事项。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5.民事审判三庭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负责诉前调解、简案速裁、巡回审判工作；负责诉调对接工作，指导基层人民调解委员会的业务工作。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6.行政审判庭（综合审判庭）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负责审理行政案件；审查并决定非诉行政执行案件；对案件审理中发现的问题，提出司法建议；办理行政赔偿案件及其他有关的赔偿工作事宜；负责审理环境资源相关案件；负责司法救助；办理其他有关事项。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7.执行局</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负责民事、商事案件、仲裁案件、刑事附带民事诉讼案件的执行；负责行政机关申请的非诉行政执行案件、刑事罚没案件的执行；负责执行信访工作；办理司法鉴定、评估、拍卖、财产保全实施等工作。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8.政治部（机关党委）</w:t>
      </w:r>
      <w:r>
        <w:rPr>
          <w:rFonts w:hint="eastAsia"/>
          <w:b w:val="0"/>
          <w:bCs w:val="0"/>
          <w:color w:val="000000"/>
          <w:sz w:val="32"/>
          <w:szCs w:val="32"/>
          <w:shd w:val="clear" w:color="auto" w:fill="FFFFFF"/>
        </w:rPr>
        <w:t>　</w:t>
      </w:r>
      <w:r>
        <w:rPr>
          <w:rFonts w:hint="eastAsia" w:ascii="仿宋_GB2312" w:eastAsia="仿宋_GB2312"/>
          <w:b w:val="0"/>
          <w:bCs w:val="0"/>
          <w:sz w:val="32"/>
          <w:szCs w:val="32"/>
        </w:rPr>
        <w:t>负责本院队伍思想政治教育、内宣及各类培训工作；负责机</w:t>
      </w:r>
      <w:r>
        <w:rPr>
          <w:rFonts w:hint="eastAsia" w:ascii="仿宋_GB2312" w:eastAsia="仿宋_GB2312"/>
          <w:b w:val="0"/>
          <w:bCs w:val="0"/>
          <w:i w:val="0"/>
          <w:iCs w:val="0"/>
          <w:sz w:val="32"/>
          <w:szCs w:val="32"/>
        </w:rPr>
        <w:t>关</w:t>
      </w:r>
      <w:r>
        <w:rPr>
          <w:rFonts w:hint="eastAsia" w:ascii="仿宋_GB2312" w:eastAsia="仿宋_GB2312"/>
          <w:b w:val="0"/>
          <w:bCs w:val="0"/>
          <w:sz w:val="32"/>
          <w:szCs w:val="32"/>
        </w:rPr>
        <w:t>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9.综合办公室 </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r>
        <w:rPr>
          <w:rFonts w:hint="eastAsia" w:ascii="仿宋_GB2312" w:eastAsia="仿宋_GB2312"/>
          <w:b w:val="0"/>
          <w:bCs w:val="0"/>
          <w:sz w:val="32"/>
          <w:szCs w:val="32"/>
          <w:lang w:eastAsia="zh-CN"/>
        </w:rPr>
        <w:t>；负责司法监督工作；</w:t>
      </w:r>
      <w:r>
        <w:rPr>
          <w:rFonts w:hint="eastAsia" w:ascii="仿宋_GB2312" w:eastAsia="仿宋_GB2312"/>
          <w:b w:val="0"/>
          <w:bCs w:val="0"/>
          <w:color w:val="auto"/>
          <w:sz w:val="32"/>
          <w:szCs w:val="32"/>
        </w:rPr>
        <w:t>负责经费预算、管理使用工作；负责本院基本建设工作；负责车辆及固定资产管理使用；负责本院后勤服务保障工作；负责对物业公司的管理和监督。</w:t>
      </w:r>
    </w:p>
    <w:p>
      <w:pPr>
        <w:snapToGrid w:val="0"/>
        <w:spacing w:line="540" w:lineRule="exact"/>
        <w:ind w:firstLine="627" w:firstLineChars="196"/>
        <w:rPr>
          <w:rFonts w:hint="eastAsia" w:ascii="仿宋_GB2312" w:eastAsia="仿宋_GB2312"/>
          <w:b w:val="0"/>
          <w:bCs w:val="0"/>
          <w:sz w:val="32"/>
          <w:szCs w:val="32"/>
          <w:lang w:eastAsia="zh-CN"/>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10.审判管理办公室  </w:t>
      </w:r>
      <w:r>
        <w:rPr>
          <w:rFonts w:hint="eastAsia" w:ascii="仿宋_GB2312" w:eastAsia="仿宋_GB2312"/>
          <w:b w:val="0"/>
          <w:bCs w:val="0"/>
          <w:sz w:val="32"/>
          <w:szCs w:val="32"/>
        </w:rPr>
        <w:t>负责对本院案件的审理、执行进行实时监测、分析、统计，组织庭审评查，建立动态监督机制；统一实施审判、执行流程管理；建立、管理法官业绩档案；处理其他审判管理相关工作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负责本院审判委员会的日常事务工作</w:t>
      </w:r>
      <w:r>
        <w:rPr>
          <w:rFonts w:hint="eastAsia" w:ascii="仿宋_GB2312" w:eastAsia="仿宋_GB2312"/>
          <w:b w:val="0"/>
          <w:bCs w:val="0"/>
          <w:sz w:val="32"/>
          <w:szCs w:val="32"/>
          <w:lang w:eastAsia="zh-CN"/>
        </w:rPr>
        <w:t>，负责本院信息化工作。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11.司法警察大队 </w:t>
      </w:r>
      <w:r>
        <w:rPr>
          <w:rFonts w:hint="eastAsia"/>
          <w:b w:val="0"/>
          <w:bCs w:val="0"/>
          <w:color w:val="000000"/>
          <w:sz w:val="32"/>
          <w:szCs w:val="32"/>
          <w:shd w:val="clear" w:color="auto" w:fill="FFFFFF"/>
        </w:rPr>
        <w:t>　</w:t>
      </w:r>
      <w:r>
        <w:rPr>
          <w:rFonts w:hint="eastAsia" w:ascii="仿宋_GB2312" w:eastAsia="仿宋_GB2312"/>
          <w:b w:val="0"/>
          <w:bCs w:val="0"/>
          <w:sz w:val="32"/>
          <w:szCs w:val="32"/>
        </w:rPr>
        <w:t>履行司法警察警务职责，负责警卫、值庭、看管、押解犯罪嫌疑人、被告人、送达法律文书，配合审判庭和执行局有关事项，执行强制措施；维护本院机关秩序；组织法警业务技能培训；办理其他工作事项。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12.南城人民法庭 </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napToGrid w:val="0"/>
        <w:spacing w:line="540" w:lineRule="exact"/>
        <w:ind w:firstLine="627" w:firstLineChars="196"/>
        <w:rPr>
          <w:rFonts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13.碧湖人民法庭</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rPr>
        <w:fldChar w:fldCharType="begin"/>
      </w:r>
      <w:r>
        <w:rPr>
          <w:rFonts w:hint="eastAsia" w:ascii="仿宋_GB2312" w:eastAsia="仿宋_GB2312"/>
          <w:bCs/>
          <w:sz w:val="32"/>
          <w:szCs w:val="32"/>
          <w:highlight w:val="none"/>
        </w:rPr>
        <w:instrText xml:space="preserve">MERGEFIELD ${page855778723.ds388518707_V_RPT_BAS_AGENCY_INFO_NAME}</w:instrText>
      </w:r>
      <w:r>
        <w:rPr>
          <w:rFonts w:hint="eastAsia" w:ascii="仿宋_GB2312" w:eastAsia="仿宋_GB2312"/>
          <w:bCs/>
          <w:sz w:val="32"/>
          <w:szCs w:val="32"/>
          <w:highlight w:val="none"/>
        </w:rPr>
        <w:fldChar w:fldCharType="separate"/>
      </w:r>
      <w:r>
        <w:rPr>
          <w:rFonts w:hint="eastAsia" w:ascii="仿宋_GB2312" w:eastAsia="仿宋_GB2312"/>
          <w:bCs/>
          <w:sz w:val="32"/>
          <w:szCs w:val="32"/>
          <w:highlight w:val="none"/>
        </w:rPr>
        <w:t>丽水市莲都区人民法院</w:t>
      </w:r>
      <w:r>
        <w:fldChar w:fldCharType="end"/>
      </w:r>
      <w:r>
        <w:rPr>
          <w:rFonts w:hint="eastAsia" w:ascii="仿宋_GB2312" w:eastAsia="仿宋_GB2312"/>
          <w:bCs/>
          <w:sz w:val="32"/>
          <w:szCs w:val="32"/>
          <w:highlight w:val="none"/>
        </w:rPr>
        <w:t>预算包括：</w:t>
      </w:r>
      <w:r>
        <w:rPr>
          <w:rFonts w:hint="eastAsia" w:ascii="仿宋_GB2312" w:eastAsia="仿宋_GB2312"/>
          <w:bCs/>
          <w:sz w:val="32"/>
          <w:szCs w:val="32"/>
          <w:highlight w:val="none"/>
          <w:lang w:eastAsia="zh-CN"/>
        </w:rPr>
        <w:t>丽水市</w:t>
      </w:r>
      <w:r>
        <w:rPr>
          <w:rFonts w:hint="eastAsia" w:ascii="仿宋_GB2312" w:hAnsi="Times New Roman" w:eastAsia="仿宋_GB2312" w:cs="Times New Roman"/>
          <w:bCs/>
          <w:kern w:val="2"/>
          <w:sz w:val="32"/>
          <w:szCs w:val="32"/>
          <w:lang w:val="en-US" w:eastAsia="zh-CN" w:bidi="ar-SA"/>
        </w:rPr>
        <w:t>莲都区人民法院</w:t>
      </w:r>
      <w:r>
        <w:rPr>
          <w:rFonts w:hint="eastAsia" w:ascii="仿宋_GB2312" w:eastAsia="仿宋_GB2312" w:cs="Times New Roman"/>
          <w:bCs/>
          <w:kern w:val="2"/>
          <w:sz w:val="32"/>
          <w:szCs w:val="32"/>
          <w:lang w:val="en-US" w:eastAsia="zh-CN" w:bidi="ar-SA"/>
        </w:rPr>
        <w:t>本级</w:t>
      </w:r>
      <w:r>
        <w:rPr>
          <w:rFonts w:hint="eastAsia" w:ascii="仿宋_GB2312" w:hAnsi="Times New Roman" w:eastAsia="仿宋_GB2312" w:cs="Times New Roman"/>
          <w:bCs/>
          <w:kern w:val="2"/>
          <w:sz w:val="32"/>
          <w:szCs w:val="32"/>
          <w:lang w:val="en-US" w:eastAsia="zh-CN" w:bidi="ar-SA"/>
        </w:rPr>
        <w:t>单位</w:t>
      </w:r>
      <w:r>
        <w:rPr>
          <w:rFonts w:hint="eastAsia" w:ascii="仿宋_GB2312" w:eastAsia="仿宋_GB2312" w:cs="Times New Roman"/>
          <w:bCs/>
          <w:kern w:val="2"/>
          <w:sz w:val="32"/>
          <w:szCs w:val="32"/>
          <w:lang w:val="en-US" w:eastAsia="zh-CN" w:bidi="ar-SA"/>
        </w:rPr>
        <w:t>预算</w:t>
      </w:r>
      <w:r>
        <w:rPr>
          <w:rFonts w:hint="eastAsia" w:ascii="仿宋_GB2312" w:hAnsi="Times New Roman" w:eastAsia="仿宋_GB2312" w:cs="Times New Roman"/>
          <w:bCs/>
          <w:kern w:val="2"/>
          <w:sz w:val="32"/>
          <w:szCs w:val="32"/>
          <w:lang w:val="en-US" w:eastAsia="zh-CN" w:bidi="ar-SA"/>
        </w:rPr>
        <w:t>，正式在职人员11</w:t>
      </w:r>
      <w:r>
        <w:rPr>
          <w:rFonts w:hint="eastAsia" w:ascii="仿宋_GB2312" w:eastAsia="仿宋_GB2312" w:cs="Times New Roman"/>
          <w:bCs/>
          <w:kern w:val="2"/>
          <w:sz w:val="32"/>
          <w:szCs w:val="32"/>
          <w:lang w:val="en-US" w:eastAsia="zh-CN" w:bidi="ar-SA"/>
        </w:rPr>
        <w:t>8</w:t>
      </w:r>
      <w:r>
        <w:rPr>
          <w:rFonts w:hint="eastAsia" w:ascii="仿宋_GB2312" w:hAnsi="Times New Roman" w:eastAsia="仿宋_GB2312" w:cs="Times New Roman"/>
          <w:bCs/>
          <w:kern w:val="2"/>
          <w:sz w:val="32"/>
          <w:szCs w:val="32"/>
          <w:lang w:val="en-US" w:eastAsia="zh-CN" w:bidi="ar-SA"/>
        </w:rPr>
        <w:t>人，劳务派遣人员</w:t>
      </w:r>
      <w:r>
        <w:rPr>
          <w:rFonts w:hint="eastAsia" w:ascii="仿宋_GB2312" w:eastAsia="仿宋_GB2312" w:cs="Times New Roman"/>
          <w:bCs/>
          <w:kern w:val="2"/>
          <w:sz w:val="32"/>
          <w:szCs w:val="32"/>
          <w:lang w:val="en-US" w:eastAsia="zh-CN" w:bidi="ar-SA"/>
        </w:rPr>
        <w:t>74</w:t>
      </w:r>
      <w:r>
        <w:rPr>
          <w:rFonts w:hint="eastAsia" w:ascii="仿宋_GB2312" w:hAnsi="Times New Roman" w:eastAsia="仿宋_GB2312" w:cs="Times New Roman"/>
          <w:bCs/>
          <w:kern w:val="2"/>
          <w:sz w:val="32"/>
          <w:szCs w:val="32"/>
          <w:lang w:val="en-US" w:eastAsia="zh-CN" w:bidi="ar-SA"/>
        </w:rPr>
        <w:t>人，退休6</w:t>
      </w:r>
      <w:r>
        <w:rPr>
          <w:rFonts w:hint="eastAsia" w:ascii="仿宋_GB2312" w:eastAsia="仿宋_GB2312" w:cs="Times New Roman"/>
          <w:bCs/>
          <w:kern w:val="2"/>
          <w:sz w:val="32"/>
          <w:szCs w:val="32"/>
          <w:lang w:val="en-US" w:eastAsia="zh-CN" w:bidi="ar-SA"/>
        </w:rPr>
        <w:t>4</w:t>
      </w:r>
      <w:r>
        <w:rPr>
          <w:rFonts w:hint="eastAsia" w:ascii="仿宋_GB2312" w:hAnsi="Times New Roman" w:eastAsia="仿宋_GB2312" w:cs="Times New Roman"/>
          <w:bCs/>
          <w:kern w:val="2"/>
          <w:sz w:val="32"/>
          <w:szCs w:val="32"/>
          <w:lang w:val="en-US" w:eastAsia="zh-CN" w:bidi="ar-SA"/>
        </w:rPr>
        <w:t>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11"/>
          <w:rFonts w:hint="eastAsia" w:ascii="黑体" w:eastAsia="黑体"/>
          <w:b w:val="0"/>
          <w:color w:val="000000"/>
          <w:sz w:val="32"/>
          <w:szCs w:val="32"/>
          <w:highlight w:val="none"/>
          <w:lang w:val="en-US" w:eastAsia="zh-CN"/>
        </w:rPr>
        <w:t xml:space="preserve">    </w:t>
      </w: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楷体_GB2312" w:hAnsi="楷体_GB2312" w:eastAsia="楷体_GB2312" w:cs="楷体_GB2312"/>
          <w:b w:val="0"/>
          <w:bCs w:val="0"/>
          <w:color w:val="000000"/>
          <w:sz w:val="32"/>
          <w:szCs w:val="32"/>
          <w:highlight w:val="none"/>
          <w:lang w:eastAsia="zh-CN"/>
        </w:rPr>
        <w:fldChar w:fldCharType="begin"/>
      </w:r>
      <w:r>
        <w:rPr>
          <w:rFonts w:hint="eastAsia" w:ascii="楷体_GB2312" w:hAnsi="楷体_GB2312" w:eastAsia="楷体_GB2312" w:cs="楷体_GB2312"/>
          <w:b w:val="0"/>
          <w:bCs w:val="0"/>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val="0"/>
          <w:color w:val="000000"/>
          <w:sz w:val="32"/>
          <w:szCs w:val="32"/>
          <w:highlight w:val="none"/>
          <w:lang w:eastAsia="zh-CN"/>
        </w:rPr>
        <w:fldChar w:fldCharType="separate"/>
      </w:r>
      <w:r>
        <w:rPr>
          <w:rFonts w:hint="eastAsia" w:ascii="楷体_GB2312" w:hAnsi="楷体_GB2312" w:eastAsia="楷体_GB2312" w:cs="楷体_GB2312"/>
          <w:b w:val="0"/>
          <w:bCs w:val="0"/>
          <w:color w:val="000000"/>
          <w:sz w:val="32"/>
          <w:szCs w:val="32"/>
          <w:highlight w:val="none"/>
          <w:lang w:eastAsia="zh-CN"/>
        </w:rPr>
        <w:t>丽水市莲都区人民法院</w:t>
      </w:r>
      <w:r>
        <w:fldChar w:fldCharType="end"/>
      </w:r>
      <w:r>
        <w:rPr>
          <w:rStyle w:val="11"/>
          <w:rFonts w:hint="eastAsia" w:ascii="楷体_GB2312" w:hAnsi="楷体_GB2312" w:eastAsia="楷体_GB2312" w:cs="楷体_GB2312"/>
          <w:b w:val="0"/>
          <w:bCs w:val="0"/>
          <w:color w:val="000000"/>
          <w:sz w:val="32"/>
          <w:szCs w:val="32"/>
          <w:highlight w:val="none"/>
          <w:lang w:val="en-US" w:eastAsia="zh-CN"/>
        </w:rPr>
        <w:t>2023</w:t>
      </w:r>
      <w:r>
        <w:rPr>
          <w:rStyle w:val="11"/>
          <w:rFonts w:hint="eastAsia" w:ascii="楷体_GB2312" w:hAnsi="楷体_GB2312" w:eastAsia="楷体_GB2312" w:cs="楷体_GB2312"/>
          <w:b w:val="0"/>
          <w:bCs w:val="0"/>
          <w:color w:val="000000"/>
          <w:sz w:val="32"/>
          <w:szCs w:val="32"/>
          <w:highlight w:val="none"/>
        </w:rPr>
        <w:t>年</w:t>
      </w:r>
      <w:r>
        <w:rPr>
          <w:rStyle w:val="11"/>
          <w:rFonts w:hint="eastAsia" w:ascii="楷体_GB2312" w:hAnsi="楷体_GB2312" w:eastAsia="楷体_GB2312" w:cs="楷体_GB2312"/>
          <w:b w:val="0"/>
          <w:bCs w:val="0"/>
          <w:color w:val="000000"/>
          <w:sz w:val="32"/>
          <w:szCs w:val="32"/>
          <w:highlight w:val="none"/>
          <w:lang w:eastAsia="zh-CN"/>
        </w:rPr>
        <w:t>收支预算情况的总体说明</w:t>
      </w:r>
    </w:p>
    <w:p>
      <w:pPr>
        <w:snapToGrid w:val="0"/>
        <w:spacing w:line="540" w:lineRule="exact"/>
        <w:ind w:firstLine="641"/>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s="Times New Roman"/>
          <w:b w:val="0"/>
          <w:bCs/>
          <w:sz w:val="32"/>
          <w:szCs w:val="32"/>
          <w:highlight w:val="none"/>
          <w:lang w:val="en-US" w:eastAsia="zh-CN"/>
        </w:rPr>
        <w:fldChar w:fldCharType="begin"/>
      </w:r>
      <w:r>
        <w:rPr>
          <w:rFonts w:hint="eastAsia" w:ascii="仿宋_GB2312" w:eastAsia="仿宋_GB2312" w:cs="Times New Roman"/>
          <w:b w:val="0"/>
          <w:bCs/>
          <w:sz w:val="32"/>
          <w:szCs w:val="32"/>
          <w:highlight w:val="none"/>
          <w:lang w:val="en-US" w:eastAsia="zh-CN"/>
        </w:rPr>
        <w:instrText xml:space="preserve">MERGEFIELD ${page855778723.ds388518707_V_RPT_BAS_AGENCY_INFO_NAME}</w:instrText>
      </w:r>
      <w:r>
        <w:rPr>
          <w:rFonts w:hint="eastAsia" w:ascii="仿宋_GB2312" w:eastAsia="仿宋_GB2312" w:cs="Times New Roman"/>
          <w:b w:val="0"/>
          <w:bCs/>
          <w:sz w:val="32"/>
          <w:szCs w:val="32"/>
          <w:highlight w:val="none"/>
          <w:lang w:val="en-US" w:eastAsia="zh-CN"/>
        </w:rPr>
        <w:fldChar w:fldCharType="separate"/>
      </w:r>
      <w:r>
        <w:rPr>
          <w:rFonts w:hint="eastAsia" w:ascii="仿宋_GB2312" w:eastAsia="仿宋_GB2312" w:cs="Times New Roman"/>
          <w:b w:val="0"/>
          <w:bCs/>
          <w:sz w:val="32"/>
          <w:szCs w:val="32"/>
          <w:highlight w:val="none"/>
          <w:lang w:val="en-US" w:eastAsia="zh-CN"/>
        </w:rPr>
        <w:t>丽水市莲都区人民法院</w:t>
      </w:r>
      <w:r>
        <w:fldChar w:fldCharType="end"/>
      </w:r>
      <w:r>
        <w:rPr>
          <w:rFonts w:hint="eastAsia" w:ascii="仿宋_GB2312" w:eastAsia="仿宋_GB2312"/>
          <w:color w:val="000000"/>
          <w:sz w:val="32"/>
          <w:szCs w:val="32"/>
          <w:highlight w:val="none"/>
          <w:lang w:eastAsia="zh-CN"/>
        </w:rPr>
        <w:t>所有收入和支出均纳入部门预算管理。收入包括：</w:t>
      </w:r>
      <w:r>
        <w:rPr>
          <w:rFonts w:hint="eastAsia" w:ascii="仿宋_GB2312" w:eastAsia="仿宋_GB2312"/>
          <w:bCs/>
          <w:sz w:val="32"/>
          <w:szCs w:val="32"/>
        </w:rPr>
        <w:t>一般公共预算拨款收入</w:t>
      </w:r>
      <w:r>
        <w:rPr>
          <w:rFonts w:hint="eastAsia" w:ascii="仿宋_GB2312" w:eastAsia="仿宋_GB2312"/>
          <w:bCs/>
          <w:sz w:val="32"/>
          <w:szCs w:val="32"/>
          <w:lang w:eastAsia="zh-CN"/>
        </w:rPr>
        <w:t>、政府性基金预算收入、上年结转结余</w:t>
      </w:r>
      <w:r>
        <w:rPr>
          <w:rFonts w:hint="eastAsia" w:ascii="仿宋_GB2312" w:eastAsia="仿宋_GB2312"/>
          <w:bCs/>
          <w:sz w:val="32"/>
          <w:szCs w:val="32"/>
        </w:rPr>
        <w:t>；支出包括：</w:t>
      </w:r>
      <w:r>
        <w:rPr>
          <w:rFonts w:hint="eastAsia" w:ascii="仿宋_GB2312" w:eastAsia="仿宋_GB2312"/>
          <w:bCs/>
          <w:sz w:val="32"/>
          <w:szCs w:val="32"/>
          <w:lang w:eastAsia="zh-CN"/>
        </w:rPr>
        <w:t>一般公共服务支出、</w:t>
      </w:r>
      <w:r>
        <w:rPr>
          <w:rFonts w:hint="eastAsia" w:ascii="仿宋_GB2312" w:eastAsia="仿宋_GB2312"/>
          <w:bCs/>
          <w:sz w:val="32"/>
          <w:szCs w:val="32"/>
        </w:rPr>
        <w:t>公共安全支出、社会保障和就业支出、卫生健康支出、</w:t>
      </w:r>
      <w:r>
        <w:rPr>
          <w:rFonts w:hint="eastAsia" w:ascii="仿宋_GB2312" w:eastAsia="仿宋_GB2312"/>
          <w:bCs/>
          <w:sz w:val="32"/>
          <w:szCs w:val="32"/>
          <w:lang w:eastAsia="zh-CN"/>
        </w:rPr>
        <w:t>城乡社区支出、</w:t>
      </w:r>
      <w:r>
        <w:rPr>
          <w:rFonts w:hint="eastAsia" w:ascii="仿宋_GB2312" w:eastAsia="仿宋_GB2312"/>
          <w:bCs/>
          <w:sz w:val="32"/>
          <w:szCs w:val="32"/>
        </w:rPr>
        <w:t>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丽水市莲都区人民法院</w:t>
      </w:r>
      <w:r>
        <w:fldChar w:fldCharType="end"/>
      </w:r>
      <w:r>
        <w:rPr>
          <w:rFonts w:hint="eastAsia" w:ascii="仿宋_GB2312" w:eastAsia="仿宋_GB2312"/>
          <w:color w:val="000000"/>
          <w:sz w:val="32"/>
          <w:szCs w:val="32"/>
          <w:highlight w:val="none"/>
          <w:lang w:val="en-US" w:eastAsia="zh-CN"/>
        </w:rPr>
        <w:t>2023年收支总预算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${page855778723.ds388518707_V_REP_BGT_DEP_INCOME_DEP_BGT_REV}</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7431.00</w:t>
      </w:r>
      <w:r>
        <w:fldChar w:fldCharType="end"/>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丽水市莲都区人民法院</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${page855778723.ds388518707_V_REP_BGT_DEP_INCOME_DEP_BGT_REV}</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7431.00</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1182.94万元，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长18.93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主要是省补基建项目和区级预算项目收入增加。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${page928547437.ds208165674_V_RPT_BGT_SHOUZHI_AMTYBGGYSZJ1}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7421.3</w:t>
      </w:r>
      <w:r>
        <w:rPr>
          <w:rFonts w:hint="eastAsia" w:ascii="仿宋_GB2312" w:eastAsia="仿宋_GB2312"/>
          <w:color w:val="000000"/>
          <w:sz w:val="32"/>
          <w:szCs w:val="32"/>
          <w:highlight w:val="none"/>
          <w:lang w:val="en-US" w:eastAsia="zh-CN"/>
        </w:rPr>
        <w:t>5</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上年结转</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${page296906908.ds669801938_V_RPT_BGT_T_HC1100002019_YISHANG_AMTYBGGYSZJ2}</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175.78</w:t>
      </w:r>
      <w:r>
        <w:fldChar w:fldCharType="end"/>
      </w:r>
      <w:r>
        <w:rPr>
          <w:rFonts w:hint="eastAsia" w:ascii="仿宋_GB2312" w:eastAsia="仿宋_GB2312"/>
          <w:color w:val="000000"/>
          <w:sz w:val="32"/>
          <w:szCs w:val="32"/>
          <w:highlight w:val="none"/>
          <w:lang w:val="en-US" w:eastAsia="zh-CN"/>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${page928547437.ds208165674_ComputeCol20220214184956}</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99.9</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政府性基金收入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${page928547437.ds208165674_V_RPT_BGT_SHOUZHI_AMTZFXJJYSZJ1}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9.64</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上年结转</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${page296906908.ds669801938_V_RPT_BGT_T_HC1100002019_YISHANG_AMTZFXJJYSZJ2}</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${page928547437.ds208165674_ComputeCol20220214185013}</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0.1</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丽水市莲都区人民法院</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${page991221988.ds669801938_V_RPT_BGT_T_HC1100002019_YISHANG_AMTHJ}</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7431.00</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w:t>
      </w:r>
      <w:r>
        <w:rPr>
          <w:rFonts w:hint="eastAsia" w:ascii="仿宋_GB2312" w:hAnsi="仿宋_GB2312" w:eastAsia="仿宋_GB2312" w:cs="仿宋_GB2312"/>
          <w:color w:val="000000"/>
          <w:sz w:val="32"/>
          <w:szCs w:val="32"/>
          <w:highlight w:val="none"/>
          <w:lang w:val="en-US" w:eastAsia="zh-CN"/>
        </w:rPr>
        <w:t>加1182.94万元，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18.93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主要是省补基建项目和区级预算项目支出增加。</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${page991221988.ds669801938_ExpandCol8468661941}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6.32</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${page991221988.ds669801938_ExpandCol9577948874}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6146.09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${page991221988.ds669801938_ExpandCol1793838688}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607.88</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${page991221988.ds669801938_ExpandCol61236023910}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372.27</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${page991221988.ds669801938_ExpandCol10591503912}</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9.64</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${page991221988.ds669801938_ExpandCol98040662420}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288.79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${page991221988.ds669801938_ComputeCol20230210141630}</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4793.43</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${page991221988.ds669801938_ComputeCol20230206164142}</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64.5</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${page991221988.ds669801938_ComputeCol20230210141705}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536.83</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${page991221988.ds669801938_ComputeCol20230206164304}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7.2</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${page991221988.ds669801938_ComputeCol20230206163359}</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2100.74</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${page991221988.ds669801938_ComputeCol20230206164355}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28.3</w:t>
      </w:r>
      <w:r>
        <w:fldChar w:fldCharType="end"/>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${page855778723.ds388518707_V_REP_BGT_DEP_INCOME_JZXN}</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0.00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丽水市莲都区人民法院</w:t>
      </w:r>
      <w:r>
        <w:fldChar w:fldCharType="end"/>
      </w:r>
      <w:r>
        <w:rPr>
          <w:rFonts w:hint="eastAsia" w:ascii="仿宋_GB2312" w:eastAsia="仿宋_GB2312"/>
          <w:color w:val="000000"/>
          <w:sz w:val="32"/>
          <w:szCs w:val="32"/>
          <w:highlight w:val="none"/>
          <w:lang w:val="en-US" w:eastAsia="zh-CN"/>
        </w:rPr>
        <w:t>2023年财政拨款收支总预算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${page296906908.ds669801938_ComputeCol20220210154818}</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7431.00</w:t>
      </w:r>
      <w:r>
        <w:fldChar w:fldCharType="end"/>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7421.35</w:t>
      </w:r>
      <w:r>
        <w:fldChar w:fldCharType="end"/>
      </w:r>
      <w:r>
        <w:rPr>
          <w:rFonts w:hint="eastAsia" w:ascii="仿宋_GB2312" w:eastAsia="仿宋_GB2312"/>
          <w:color w:val="000000"/>
          <w:sz w:val="32"/>
          <w:szCs w:val="32"/>
          <w:highlight w:val="none"/>
          <w:lang w:val="en-US" w:eastAsia="zh-CN"/>
        </w:rPr>
        <w:t>万元、政府性基金</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${page296906908.ds669801938_V_RPT_BGT_T_HC1100002019_YISHANG_AMTZFXJJYSZJ}</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9.64</w:t>
      </w:r>
      <w:r>
        <w:fldChar w:fldCharType="end"/>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${page296906908.ds669801938_ComputeCol20220210161845}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6.32</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${page296906908.ds669801938_ComputeCol20220210162530}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6146.09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${page296906908.ds669801938_ComputeCol20220210163509}</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607.88</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${page296906908.ds669801938_ComputeCol20220210163636}</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372.27</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${page296906908.ds669801938_ComputeCol20220210164024}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9.64</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${page296906908.ds669801938_ComputeCol20220210170411}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288.79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1.一般公共预算拨款规模变化情况。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fldChar w:fldCharType="begin"/>
      </w:r>
      <w:r>
        <w:rPr>
          <w:rFonts w:hint="eastAsia" w:ascii="仿宋_GB2312" w:eastAsia="仿宋_GB2312"/>
          <w:b w:val="0"/>
          <w:bCs/>
          <w:color w:val="auto"/>
          <w:sz w:val="32"/>
          <w:szCs w:val="32"/>
          <w:lang w:val="en-US" w:eastAsia="zh-CN"/>
        </w:rPr>
        <w:instrText xml:space="preserve">MERGEFIELD ${page855778723.ds388518707_V_RPT_BAS_AGENCY_INFO_NAME}</w:instrText>
      </w:r>
      <w:r>
        <w:rPr>
          <w:rFonts w:hint="eastAsia" w:ascii="仿宋_GB2312" w:eastAsia="仿宋_GB2312"/>
          <w:b w:val="0"/>
          <w:bCs/>
          <w:color w:val="auto"/>
          <w:sz w:val="32"/>
          <w:szCs w:val="32"/>
          <w:lang w:val="en-US" w:eastAsia="zh-CN"/>
        </w:rPr>
        <w:fldChar w:fldCharType="separate"/>
      </w:r>
      <w:r>
        <w:rPr>
          <w:rFonts w:hint="eastAsia" w:ascii="仿宋_GB2312" w:eastAsia="仿宋_GB2312"/>
          <w:b w:val="0"/>
          <w:bCs/>
          <w:color w:val="auto"/>
          <w:sz w:val="32"/>
          <w:szCs w:val="32"/>
          <w:lang w:val="en-US" w:eastAsia="zh-CN"/>
        </w:rPr>
        <w:t>丽水市莲都区人民法院</w:t>
      </w:r>
      <w:r>
        <w:rPr>
          <w:rFonts w:hint="eastAsia" w:ascii="仿宋_GB2312" w:eastAsia="仿宋_GB2312"/>
          <w:b w:val="0"/>
          <w:bCs/>
          <w:color w:val="auto"/>
          <w:sz w:val="32"/>
          <w:szCs w:val="32"/>
        </w:rPr>
        <w:fldChar w:fldCharType="end"/>
      </w:r>
      <w:r>
        <w:rPr>
          <w:rFonts w:hint="eastAsia" w:ascii="仿宋_GB2312" w:eastAsia="仿宋_GB2312"/>
          <w:b w:val="0"/>
          <w:bCs/>
          <w:color w:val="auto"/>
          <w:sz w:val="32"/>
          <w:szCs w:val="32"/>
          <w:lang w:val="en-US" w:eastAsia="zh-CN"/>
        </w:rPr>
        <w:t>2023年一般公共预算拨款</w:t>
      </w:r>
      <w:r>
        <w:rPr>
          <w:rFonts w:hint="eastAsia" w:ascii="仿宋_GB2312" w:eastAsia="仿宋_GB2312"/>
          <w:b w:val="0"/>
          <w:bCs/>
          <w:color w:val="auto"/>
          <w:sz w:val="32"/>
          <w:szCs w:val="32"/>
        </w:rPr>
        <w:fldChar w:fldCharType="begin"/>
      </w:r>
      <w:r>
        <w:rPr>
          <w:rFonts w:hint="eastAsia" w:ascii="仿宋_GB2312" w:eastAsia="仿宋_GB2312"/>
          <w:b w:val="0"/>
          <w:bCs/>
          <w:color w:val="auto"/>
          <w:sz w:val="32"/>
          <w:szCs w:val="32"/>
        </w:rPr>
        <w:instrText xml:space="preserve">MERGEFIELD ${page296906908.ds669801938_V_RPT_BGT_T_HC1100002019_YISHANG_AMTYBGGYSZJ}</w:instrText>
      </w:r>
      <w:r>
        <w:rPr>
          <w:rFonts w:hint="eastAsia" w:ascii="仿宋_GB2312" w:eastAsia="仿宋_GB2312"/>
          <w:b w:val="0"/>
          <w:bCs/>
          <w:color w:val="auto"/>
          <w:sz w:val="32"/>
          <w:szCs w:val="32"/>
        </w:rPr>
        <w:fldChar w:fldCharType="separate"/>
      </w:r>
      <w:r>
        <w:rPr>
          <w:rFonts w:hint="eastAsia" w:ascii="仿宋_GB2312" w:eastAsia="仿宋_GB2312"/>
          <w:b w:val="0"/>
          <w:bCs/>
          <w:color w:val="auto"/>
          <w:sz w:val="32"/>
          <w:szCs w:val="32"/>
        </w:rPr>
        <w:t>7421.35</w:t>
      </w:r>
      <w:r>
        <w:rPr>
          <w:rFonts w:hint="eastAsia" w:ascii="仿宋_GB2312" w:eastAsia="仿宋_GB2312"/>
          <w:b w:val="0"/>
          <w:bCs/>
          <w:color w:val="auto"/>
          <w:sz w:val="32"/>
          <w:szCs w:val="32"/>
        </w:rPr>
        <w:fldChar w:fldCharType="end"/>
      </w:r>
      <w:r>
        <w:rPr>
          <w:rFonts w:hint="eastAsia" w:ascii="仿宋_GB2312" w:eastAsia="仿宋_GB2312"/>
          <w:b w:val="0"/>
          <w:bCs/>
          <w:color w:val="auto"/>
          <w:sz w:val="32"/>
          <w:szCs w:val="32"/>
          <w:lang w:val="en-US" w:eastAsia="zh-CN"/>
        </w:rPr>
        <w:t>万元，</w:t>
      </w:r>
      <w:r>
        <w:rPr>
          <w:rFonts w:hint="eastAsia" w:ascii="仿宋_GB2312" w:eastAsia="仿宋_GB2312"/>
          <w:b w:val="0"/>
          <w:bCs/>
          <w:color w:val="auto"/>
          <w:sz w:val="32"/>
          <w:szCs w:val="32"/>
        </w:rPr>
        <w:t>比20</w:t>
      </w:r>
      <w:r>
        <w:rPr>
          <w:rFonts w:hint="eastAsia" w:ascii="仿宋_GB2312" w:eastAsia="仿宋_GB2312"/>
          <w:b w:val="0"/>
          <w:bCs/>
          <w:color w:val="auto"/>
          <w:sz w:val="32"/>
          <w:szCs w:val="32"/>
          <w:lang w:val="en-US" w:eastAsia="zh-CN"/>
        </w:rPr>
        <w:t>22</w:t>
      </w:r>
      <w:r>
        <w:rPr>
          <w:rFonts w:hint="eastAsia" w:ascii="仿宋_GB2312" w:eastAsia="仿宋_GB2312"/>
          <w:b w:val="0"/>
          <w:bCs/>
          <w:color w:val="auto"/>
          <w:sz w:val="32"/>
          <w:szCs w:val="32"/>
        </w:rPr>
        <w:t>年执行</w:t>
      </w:r>
      <w:r>
        <w:rPr>
          <w:rFonts w:hint="eastAsia" w:ascii="仿宋_GB2312" w:eastAsia="仿宋_GB2312"/>
          <w:b w:val="0"/>
          <w:bCs/>
          <w:color w:val="auto"/>
          <w:sz w:val="32"/>
          <w:szCs w:val="32"/>
          <w:lang w:eastAsia="zh-CN"/>
        </w:rPr>
        <w:t>数增加</w:t>
      </w:r>
      <w:r>
        <w:rPr>
          <w:rFonts w:hint="eastAsia" w:ascii="仿宋_GB2312" w:eastAsia="仿宋_GB2312"/>
          <w:b w:val="0"/>
          <w:bCs/>
          <w:color w:val="auto"/>
          <w:sz w:val="32"/>
          <w:szCs w:val="32"/>
          <w:lang w:val="en-US" w:eastAsia="zh-CN"/>
        </w:rPr>
        <w:t>1173.29</w:t>
      </w:r>
      <w:r>
        <w:rPr>
          <w:rFonts w:hint="eastAsia" w:ascii="仿宋_GB2312" w:eastAsia="仿宋_GB2312"/>
          <w:b w:val="0"/>
          <w:bCs/>
          <w:color w:val="auto"/>
          <w:sz w:val="32"/>
          <w:szCs w:val="32"/>
        </w:rPr>
        <w:t>万元，主要是</w:t>
      </w:r>
      <w:r>
        <w:rPr>
          <w:rFonts w:hint="eastAsia" w:ascii="仿宋_GB2312" w:eastAsia="仿宋_GB2312"/>
          <w:b w:val="0"/>
          <w:bCs/>
          <w:color w:val="auto"/>
          <w:sz w:val="32"/>
          <w:szCs w:val="32"/>
          <w:lang w:eastAsia="zh-CN"/>
        </w:rPr>
        <w:t>省补基建项目资金增加、区级项目支出增加、人员增加后人员经费及公用经费相对增加</w:t>
      </w:r>
      <w:r>
        <w:rPr>
          <w:rFonts w:hint="eastAsia" w:ascii="仿宋_GB2312" w:eastAsia="仿宋_GB2312"/>
          <w:b w:val="0"/>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2.一般公共预算拨款结构情况。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eastAsia="zh-CN"/>
        </w:rPr>
        <w:t>一般公共服务（类）支出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${page296906908.ds669801938_ExpandCol7250283301}</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6.32</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${page296906908.ds669801938_ComputeCol20220211090346}</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0.1</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；公共安全（类）支出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${page296906908.ds669801938_ExpandCol8871749624}</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6146.09</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${page296906908.ds669801938_ComputeCol20220211093219}</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82.8</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；社会保障和就业（类）支出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${page296906908.ds669801938_ExpandCol1262074998}</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607.88</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${page296906908.ds669801938_ComputeCol20220211095109}</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8.2</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；卫生健康（类）支出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${page296906908.ds669801938_ExpandCol16601952610}</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372.27</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${page296906908.ds669801938_ComputeCol20220211095459}</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5.0</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；住房保障（类）支出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${page296906908.ds669801938_ExpandCol28769847820}</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288.79</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${page296906908.ds669801938_ComputeCol20220211102657}</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3.9</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left="963" w:leftChars="0" w:right="0" w:rightChars="0" w:firstLine="0" w:firstLineChars="0"/>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一般公共预算拨款具体使用情况。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（1）一般公共服务（类）其他共产党事物支出（款）其他共产党事物支出（项）</w:t>
      </w:r>
      <w:r>
        <w:rPr>
          <w:rFonts w:hint="eastAsia" w:ascii="仿宋_GB2312" w:hAnsi="仿宋_GB2312" w:eastAsia="仿宋_GB2312" w:cs="仿宋_GB2312"/>
          <w:color w:val="000000"/>
          <w:sz w:val="32"/>
          <w:szCs w:val="32"/>
          <w:highlight w:val="none"/>
          <w:lang w:val="en-US" w:eastAsia="zh-CN"/>
        </w:rPr>
        <w:t>6.32万元，主要用于本院司法救助款项支出。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（2）公共安全支出（类）法院（款）行政运行（项）</w:t>
      </w:r>
      <w:r>
        <w:rPr>
          <w:rFonts w:hint="eastAsia" w:ascii="仿宋_GB2312" w:hAnsi="仿宋_GB2312" w:eastAsia="仿宋_GB2312" w:cs="仿宋_GB2312"/>
          <w:color w:val="000000"/>
          <w:sz w:val="32"/>
          <w:szCs w:val="32"/>
          <w:highlight w:val="none"/>
          <w:lang w:val="en-US" w:eastAsia="zh-CN"/>
        </w:rPr>
        <w:t>4061.32</w:t>
      </w:r>
      <w:r>
        <w:rPr>
          <w:rFonts w:hint="eastAsia" w:ascii="仿宋_GB2312" w:hAnsi="仿宋_GB2312" w:eastAsia="仿宋_GB2312" w:cs="仿宋_GB2312"/>
          <w:color w:val="000000"/>
          <w:sz w:val="32"/>
          <w:szCs w:val="32"/>
          <w:highlight w:val="none"/>
          <w:lang w:eastAsia="zh-CN"/>
        </w:rPr>
        <w:t>万元，主要用于本级法院保障机构正常运行，完成日常工作任务所发生的人员支出及日常运行公用经费等基本支出。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）公共安全支出（类）法院（款）机关服务（项）</w:t>
      </w:r>
      <w:r>
        <w:rPr>
          <w:rFonts w:hint="eastAsia" w:ascii="仿宋_GB2312" w:hAnsi="仿宋_GB2312" w:eastAsia="仿宋_GB2312" w:cs="仿宋_GB2312"/>
          <w:color w:val="000000"/>
          <w:sz w:val="32"/>
          <w:szCs w:val="32"/>
          <w:highlight w:val="none"/>
          <w:lang w:val="en-US" w:eastAsia="zh-CN"/>
        </w:rPr>
        <w:t>176.66</w:t>
      </w:r>
      <w:r>
        <w:rPr>
          <w:rFonts w:hint="eastAsia" w:ascii="仿宋_GB2312" w:hAnsi="仿宋_GB2312" w:eastAsia="仿宋_GB2312" w:cs="仿宋_GB2312"/>
          <w:color w:val="000000"/>
          <w:sz w:val="32"/>
          <w:szCs w:val="32"/>
          <w:highlight w:val="none"/>
          <w:lang w:eastAsia="zh-CN"/>
        </w:rPr>
        <w:t>万元，主要用于本院物业管理费用的支出。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）公共安全支出（类）法院（款）案件执行（项）</w:t>
      </w:r>
      <w:r>
        <w:rPr>
          <w:rFonts w:hint="eastAsia" w:ascii="仿宋_GB2312" w:hAnsi="仿宋_GB2312" w:eastAsia="仿宋_GB2312" w:cs="仿宋_GB2312"/>
          <w:color w:val="000000"/>
          <w:sz w:val="32"/>
          <w:szCs w:val="32"/>
          <w:highlight w:val="none"/>
          <w:lang w:val="en-US" w:eastAsia="zh-CN"/>
        </w:rPr>
        <w:t>170</w:t>
      </w:r>
      <w:r>
        <w:rPr>
          <w:rFonts w:hint="eastAsia" w:ascii="仿宋_GB2312" w:hAnsi="仿宋_GB2312" w:eastAsia="仿宋_GB2312" w:cs="仿宋_GB2312"/>
          <w:color w:val="000000"/>
          <w:sz w:val="32"/>
          <w:szCs w:val="32"/>
          <w:highlight w:val="none"/>
          <w:lang w:eastAsia="zh-CN"/>
        </w:rPr>
        <w:t>万元，主要用于市区执行一体化（公证派驻执行）项目支出。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）公共安全支出（类）法院（款）“两庭”建设（项）</w:t>
      </w:r>
      <w:r>
        <w:rPr>
          <w:rFonts w:hint="eastAsia" w:ascii="仿宋_GB2312" w:hAnsi="仿宋_GB2312" w:eastAsia="仿宋_GB2312" w:cs="仿宋_GB2312"/>
          <w:color w:val="000000"/>
          <w:sz w:val="32"/>
          <w:szCs w:val="32"/>
          <w:highlight w:val="none"/>
          <w:lang w:val="en-US" w:eastAsia="zh-CN"/>
        </w:rPr>
        <w:t>3.75</w:t>
      </w:r>
      <w:r>
        <w:rPr>
          <w:rFonts w:hint="eastAsia" w:ascii="仿宋_GB2312" w:hAnsi="仿宋_GB2312" w:eastAsia="仿宋_GB2312" w:cs="仿宋_GB2312"/>
          <w:color w:val="000000"/>
          <w:sz w:val="32"/>
          <w:szCs w:val="32"/>
          <w:highlight w:val="none"/>
          <w:lang w:eastAsia="zh-CN"/>
        </w:rPr>
        <w:t>万元，主要用于人民法庭运行管理的费用支出。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）公共安全支出（类）法院（款）其他法院支出（项）</w:t>
      </w:r>
      <w:r>
        <w:rPr>
          <w:rFonts w:hint="eastAsia" w:ascii="仿宋_GB2312" w:hAnsi="仿宋_GB2312" w:eastAsia="仿宋_GB2312" w:cs="仿宋_GB2312"/>
          <w:color w:val="000000"/>
          <w:sz w:val="32"/>
          <w:szCs w:val="32"/>
          <w:highlight w:val="none"/>
          <w:lang w:val="en-US" w:eastAsia="zh-CN"/>
        </w:rPr>
        <w:t>1734.36</w:t>
      </w:r>
      <w:r>
        <w:rPr>
          <w:rFonts w:hint="eastAsia" w:ascii="仿宋_GB2312" w:hAnsi="仿宋_GB2312" w:eastAsia="仿宋_GB2312" w:cs="仿宋_GB2312"/>
          <w:color w:val="000000"/>
          <w:sz w:val="32"/>
          <w:szCs w:val="32"/>
          <w:highlight w:val="none"/>
          <w:lang w:eastAsia="zh-CN"/>
        </w:rPr>
        <w:t>万元，主要用于办案水电费、通信费、劳务费、差旅费和信息化建设、被装购置等项目支出。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323.02</w:t>
      </w:r>
      <w:r>
        <w:rPr>
          <w:rFonts w:hint="eastAsia" w:ascii="仿宋_GB2312" w:hAnsi="仿宋_GB2312" w:eastAsia="仿宋_GB2312" w:cs="仿宋_GB2312"/>
          <w:color w:val="000000"/>
          <w:sz w:val="32"/>
          <w:szCs w:val="32"/>
          <w:highlight w:val="none"/>
          <w:lang w:eastAsia="zh-CN"/>
        </w:rPr>
        <w:t>万元,主要用于本院人员单位缴纳的基本养老保险费支出。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161.51</w:t>
      </w:r>
      <w:r>
        <w:rPr>
          <w:rFonts w:hint="eastAsia" w:ascii="仿宋_GB2312" w:hAnsi="仿宋_GB2312" w:eastAsia="仿宋_GB2312" w:cs="仿宋_GB2312"/>
          <w:color w:val="000000"/>
          <w:sz w:val="32"/>
          <w:szCs w:val="32"/>
          <w:highlight w:val="none"/>
          <w:lang w:eastAsia="zh-CN"/>
        </w:rPr>
        <w:t>万元,主要用于本院人员单位实际缴纳职业年金支出。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123.36</w:t>
      </w:r>
      <w:r>
        <w:rPr>
          <w:rFonts w:hint="eastAsia" w:ascii="仿宋_GB2312" w:hAnsi="仿宋_GB2312" w:eastAsia="仿宋_GB2312" w:cs="仿宋_GB2312"/>
          <w:color w:val="000000"/>
          <w:sz w:val="32"/>
          <w:szCs w:val="32"/>
          <w:highlight w:val="none"/>
          <w:lang w:eastAsia="zh-CN"/>
        </w:rPr>
        <w:t>万元，主要用于本院退休人员综合生活补助及活动费支出。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）卫生健康支出（类）行政事业单位医疗（款）行政单位医疗（项）</w:t>
      </w:r>
      <w:r>
        <w:rPr>
          <w:rFonts w:hint="eastAsia" w:ascii="仿宋_GB2312" w:hAnsi="仿宋_GB2312" w:eastAsia="仿宋_GB2312" w:cs="仿宋_GB2312"/>
          <w:color w:val="000000"/>
          <w:sz w:val="32"/>
          <w:szCs w:val="32"/>
          <w:highlight w:val="none"/>
          <w:lang w:val="en-US" w:eastAsia="zh-CN"/>
        </w:rPr>
        <w:t>372.27</w:t>
      </w:r>
      <w:r>
        <w:rPr>
          <w:rFonts w:hint="eastAsia" w:ascii="仿宋_GB2312" w:hAnsi="仿宋_GB2312" w:eastAsia="仿宋_GB2312" w:cs="仿宋_GB2312"/>
          <w:color w:val="000000"/>
          <w:sz w:val="32"/>
          <w:szCs w:val="32"/>
          <w:highlight w:val="none"/>
          <w:lang w:eastAsia="zh-CN"/>
        </w:rPr>
        <w:t>万元。主要用于本院在职及退休人员的医疗保险费支出。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288.79</w:t>
      </w:r>
      <w:r>
        <w:rPr>
          <w:rFonts w:hint="eastAsia" w:ascii="仿宋_GB2312" w:hAnsi="仿宋_GB2312" w:eastAsia="仿宋_GB2312" w:cs="仿宋_GB2312"/>
          <w:color w:val="000000"/>
          <w:sz w:val="32"/>
          <w:szCs w:val="32"/>
          <w:highlight w:val="none"/>
          <w:lang w:eastAsia="zh-CN"/>
        </w:rPr>
        <w:t>万元。主要用于本院职工缴纳的住房公积金支出。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丽水市莲都区人民法院</w:t>
      </w:r>
      <w:r>
        <w:fldChar w:fldCharType="end"/>
      </w:r>
      <w:r>
        <w:rPr>
          <w:rFonts w:hint="eastAsia" w:ascii="仿宋_GB2312" w:eastAsia="仿宋_GB2312"/>
          <w:color w:val="000000"/>
          <w:sz w:val="32"/>
          <w:szCs w:val="32"/>
          <w:highlight w:val="none"/>
          <w:lang w:val="en-US" w:eastAsia="zh-CN"/>
        </w:rPr>
        <w:t>2023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${page296906908.ds669801938_ComputeCol20220217095658}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5330.26</w:t>
      </w:r>
      <w:r>
        <w:fldChar w:fldCharType="end"/>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${page296906908.ds669801938_ExpandCol3479089931}</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4793.43</w:t>
      </w:r>
      <w:r>
        <w:fldChar w:fldCharType="end"/>
      </w:r>
      <w:r>
        <w:rPr>
          <w:rFonts w:hint="eastAsia" w:ascii="仿宋_GB2312" w:eastAsia="仿宋_GB2312" w:cs="Times New Roman"/>
          <w:b w:val="0"/>
          <w:color w:val="000000"/>
          <w:sz w:val="32"/>
          <w:szCs w:val="32"/>
          <w:highlight w:val="none"/>
          <w:lang w:val="en-US" w:eastAsia="zh-CN"/>
        </w:rPr>
        <w:t>万元，主要包括：基本工资、津贴补贴、奖金、机关事业单位基本养老保险缴费、职业年金缴费、职工基本医疗保险缴费、其他社会保障缴费、住房公积金、医疗费、其他工资福利支出。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${page296906908.ds669801938_ExpandCol3055937732}</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536.83</w:t>
      </w:r>
      <w:r>
        <w:fldChar w:fldCharType="end"/>
      </w:r>
      <w:r>
        <w:rPr>
          <w:rFonts w:hint="eastAsia" w:ascii="仿宋_GB2312" w:eastAsia="仿宋_GB2312" w:cs="Times New Roman"/>
          <w:b w:val="0"/>
          <w:color w:val="000000"/>
          <w:sz w:val="32"/>
          <w:szCs w:val="32"/>
          <w:highlight w:val="none"/>
          <w:lang w:val="en-US" w:eastAsia="zh-CN"/>
        </w:rPr>
        <w:t>万元，主要包括：办公费、印刷费、水费、电费、邮电费、差旅费、维修（护）费、会议费、培训费、公务接待费、劳务费、委托业务费、工会经费、福利费、公务用车运行维护费、其他交通费用、其他商品和服务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（七）关于</w:t>
      </w:r>
      <w:r>
        <w:rPr>
          <w:rFonts w:hint="eastAsia" w:ascii="楷体_GB2312" w:hAnsi="楷体_GB2312" w:eastAsia="楷体_GB2312" w:cs="楷体_GB2312"/>
          <w:b w:val="0"/>
          <w:bCs/>
          <w:color w:val="auto"/>
          <w:sz w:val="32"/>
          <w:szCs w:val="32"/>
          <w:highlight w:val="none"/>
          <w:lang w:eastAsia="zh-CN"/>
        </w:rPr>
        <w:fldChar w:fldCharType="begin"/>
      </w:r>
      <w:r>
        <w:rPr>
          <w:rFonts w:hint="eastAsia" w:ascii="楷体_GB2312" w:hAnsi="楷体_GB2312" w:eastAsia="楷体_GB2312" w:cs="楷体_GB2312"/>
          <w:b w:val="0"/>
          <w:bCs/>
          <w:color w:val="auto"/>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auto"/>
          <w:sz w:val="32"/>
          <w:szCs w:val="32"/>
          <w:highlight w:val="none"/>
          <w:lang w:eastAsia="zh-CN"/>
        </w:rPr>
        <w:fldChar w:fldCharType="separate"/>
      </w:r>
      <w:r>
        <w:rPr>
          <w:rFonts w:hint="eastAsia" w:ascii="楷体_GB2312" w:hAnsi="楷体_GB2312" w:eastAsia="楷体_GB2312" w:cs="楷体_GB2312"/>
          <w:b w:val="0"/>
          <w:bCs/>
          <w:color w:val="auto"/>
          <w:sz w:val="32"/>
          <w:szCs w:val="32"/>
          <w:highlight w:val="none"/>
          <w:lang w:eastAsia="zh-CN"/>
        </w:rPr>
        <w:t>丽水市莲都区人民法院</w:t>
      </w:r>
      <w:r>
        <w:rPr>
          <w:color w:val="auto"/>
        </w:rPr>
        <w:fldChar w:fldCharType="end"/>
      </w:r>
      <w:r>
        <w:rPr>
          <w:rFonts w:hint="eastAsia" w:ascii="楷体_GB2312" w:hAnsi="楷体_GB2312" w:eastAsia="楷体_GB2312" w:cs="楷体_GB2312"/>
          <w:b w:val="0"/>
          <w:bCs/>
          <w:color w:val="auto"/>
          <w:sz w:val="32"/>
          <w:szCs w:val="32"/>
          <w:highlight w:val="none"/>
          <w:lang w:val="en-US" w:eastAsia="zh-CN"/>
        </w:rPr>
        <w:t>2023</w:t>
      </w:r>
      <w:r>
        <w:rPr>
          <w:rFonts w:hint="eastAsia" w:ascii="楷体_GB2312" w:hAnsi="楷体_GB2312" w:eastAsia="楷体_GB2312" w:cs="楷体_GB2312"/>
          <w:b w:val="0"/>
          <w:bCs/>
          <w:color w:val="auto"/>
          <w:sz w:val="32"/>
          <w:szCs w:val="32"/>
          <w:highlight w:val="none"/>
        </w:rPr>
        <w:t>年</w:t>
      </w:r>
      <w:r>
        <w:rPr>
          <w:rFonts w:hint="eastAsia" w:ascii="楷体_GB2312" w:hAnsi="楷体_GB2312" w:eastAsia="楷体_GB2312" w:cs="楷体_GB2312"/>
          <w:b w:val="0"/>
          <w:bCs/>
          <w:color w:val="auto"/>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1.</w:t>
      </w:r>
      <w:r>
        <w:rPr>
          <w:rFonts w:hint="eastAsia" w:ascii="仿宋_GB2312" w:hAnsi="仿宋_GB2312" w:eastAsia="仿宋_GB2312" w:cs="仿宋_GB2312"/>
          <w:b w:val="0"/>
          <w:bCs/>
          <w:color w:val="000000"/>
          <w:sz w:val="32"/>
          <w:szCs w:val="32"/>
          <w:highlight w:val="none"/>
          <w:lang w:eastAsia="zh-CN"/>
        </w:rPr>
        <w:t>政府性基金</w:t>
      </w:r>
      <w:r>
        <w:rPr>
          <w:rFonts w:hint="eastAsia" w:ascii="仿宋_GB2312" w:hAnsi="仿宋_GB2312" w:eastAsia="仿宋_GB2312" w:cs="仿宋_GB2312"/>
          <w:b w:val="0"/>
          <w:bCs/>
          <w:color w:val="000000"/>
          <w:sz w:val="32"/>
          <w:szCs w:val="32"/>
          <w:highlight w:val="none"/>
          <w:lang w:val="en-US" w:eastAsia="zh-CN"/>
        </w:rPr>
        <w:t>预算拨款规模变化情况。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fldChar w:fldCharType="begin"/>
      </w:r>
      <w:r>
        <w:rPr>
          <w:rFonts w:hint="eastAsia" w:ascii="仿宋_GB2312" w:hAnsi="仿宋_GB2312" w:eastAsia="仿宋_GB2312" w:cs="仿宋_GB2312"/>
          <w:b w:val="0"/>
          <w:bCs/>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b w:val="0"/>
          <w:bCs/>
          <w:color w:val="000000"/>
          <w:sz w:val="32"/>
          <w:szCs w:val="32"/>
          <w:highlight w:val="none"/>
          <w:lang w:val="en-US" w:eastAsia="zh-CN"/>
        </w:rPr>
        <w:fldChar w:fldCharType="separate"/>
      </w:r>
      <w:r>
        <w:rPr>
          <w:rFonts w:hint="eastAsia" w:ascii="仿宋_GB2312" w:hAnsi="仿宋_GB2312" w:eastAsia="仿宋_GB2312" w:cs="仿宋_GB2312"/>
          <w:b w:val="0"/>
          <w:bCs/>
          <w:color w:val="000000"/>
          <w:sz w:val="32"/>
          <w:szCs w:val="32"/>
          <w:highlight w:val="none"/>
          <w:lang w:val="en-US" w:eastAsia="zh-CN"/>
        </w:rPr>
        <w:t>丽水市莲都区人民法院</w:t>
      </w:r>
      <w:r>
        <w:rPr>
          <w:b w:val="0"/>
          <w:bCs/>
          <w:highlight w:val="none"/>
        </w:rPr>
        <w:fldChar w:fldCharType="end"/>
      </w:r>
      <w:r>
        <w:rPr>
          <w:rFonts w:hint="eastAsia" w:ascii="仿宋_GB2312" w:hAnsi="仿宋_GB2312" w:eastAsia="仿宋_GB2312" w:cs="仿宋_GB2312"/>
          <w:b w:val="0"/>
          <w:bCs/>
          <w:color w:val="000000"/>
          <w:sz w:val="32"/>
          <w:szCs w:val="32"/>
          <w:highlight w:val="none"/>
          <w:lang w:val="en-US" w:eastAsia="zh-CN"/>
        </w:rPr>
        <w:t>2023年政府性基金预算拨款</w:t>
      </w:r>
      <w:r>
        <w:rPr>
          <w:rFonts w:hint="eastAsia" w:ascii="仿宋_GB2312" w:hAnsi="仿宋_GB2312" w:eastAsia="仿宋_GB2312" w:cs="仿宋_GB2312"/>
          <w:b w:val="0"/>
          <w:bCs/>
          <w:color w:val="000000"/>
          <w:sz w:val="32"/>
          <w:szCs w:val="32"/>
          <w:highlight w:val="none"/>
          <w:lang w:val="en-US" w:eastAsia="zh-CN"/>
        </w:rPr>
        <w:fldChar w:fldCharType="begin"/>
      </w:r>
      <w:r>
        <w:rPr>
          <w:rFonts w:hint="eastAsia" w:ascii="仿宋_GB2312" w:hAnsi="仿宋_GB2312" w:eastAsia="仿宋_GB2312" w:cs="仿宋_GB2312"/>
          <w:b w:val="0"/>
          <w:bCs/>
          <w:color w:val="000000"/>
          <w:sz w:val="32"/>
          <w:szCs w:val="32"/>
          <w:highlight w:val="none"/>
          <w:lang w:val="en-US" w:eastAsia="zh-CN"/>
        </w:rPr>
        <w:instrText xml:space="preserve">MERGEFIELD ${page296906908.ds669801938_V_RPT_BGT_T_HC1100002019_YISHANG_AMTZFXJJYSZJ}</w:instrText>
      </w:r>
      <w:r>
        <w:rPr>
          <w:rFonts w:hint="eastAsia" w:ascii="仿宋_GB2312" w:hAnsi="仿宋_GB2312" w:eastAsia="仿宋_GB2312" w:cs="仿宋_GB2312"/>
          <w:b w:val="0"/>
          <w:bCs/>
          <w:color w:val="000000"/>
          <w:sz w:val="32"/>
          <w:szCs w:val="32"/>
          <w:highlight w:val="none"/>
          <w:lang w:val="en-US" w:eastAsia="zh-CN"/>
        </w:rPr>
        <w:fldChar w:fldCharType="separate"/>
      </w:r>
      <w:r>
        <w:rPr>
          <w:rFonts w:hint="eastAsia" w:ascii="仿宋_GB2312" w:hAnsi="仿宋_GB2312" w:eastAsia="仿宋_GB2312" w:cs="仿宋_GB2312"/>
          <w:b w:val="0"/>
          <w:bCs/>
          <w:color w:val="000000"/>
          <w:sz w:val="32"/>
          <w:szCs w:val="32"/>
          <w:highlight w:val="none"/>
          <w:lang w:val="en-US" w:eastAsia="zh-CN"/>
        </w:rPr>
        <w:t>9.64</w:t>
      </w:r>
      <w:r>
        <w:rPr>
          <w:b w:val="0"/>
          <w:bCs/>
          <w:highlight w:val="none"/>
        </w:rPr>
        <w:fldChar w:fldCharType="end"/>
      </w:r>
      <w:r>
        <w:rPr>
          <w:rFonts w:hint="eastAsia" w:ascii="仿宋_GB2312" w:hAnsi="仿宋_GB2312" w:eastAsia="仿宋_GB2312" w:cs="仿宋_GB2312"/>
          <w:b w:val="0"/>
          <w:bCs/>
          <w:color w:val="000000"/>
          <w:sz w:val="32"/>
          <w:szCs w:val="32"/>
          <w:highlight w:val="none"/>
          <w:lang w:val="en-US" w:eastAsia="zh-CN"/>
        </w:rPr>
        <w:t>万元，比2022年执行数增加</w:t>
      </w:r>
      <w:r>
        <w:rPr>
          <w:rFonts w:hint="eastAsia" w:ascii="仿宋_GB2312" w:hAnsi="仿宋_GB2312" w:eastAsia="仿宋_GB2312" w:cs="仿宋_GB2312"/>
          <w:b w:val="0"/>
          <w:bCs/>
          <w:color w:val="000000"/>
          <w:sz w:val="32"/>
          <w:highlight w:val="none"/>
          <w:lang w:val="en-US" w:eastAsia="zh-CN"/>
        </w:rPr>
        <w:t>9.64</w:t>
      </w:r>
      <w:r>
        <w:rPr>
          <w:rFonts w:hint="eastAsia" w:ascii="仿宋_GB2312" w:hAnsi="仿宋_GB2312" w:eastAsia="仿宋_GB2312" w:cs="仿宋_GB2312"/>
          <w:b w:val="0"/>
          <w:bCs/>
          <w:color w:val="000000"/>
          <w:sz w:val="32"/>
          <w:szCs w:val="32"/>
          <w:highlight w:val="none"/>
          <w:lang w:val="en-US" w:eastAsia="zh-CN"/>
        </w:rPr>
        <w:t>万元，</w:t>
      </w:r>
      <w:r>
        <w:rPr>
          <w:rFonts w:hint="eastAsia" w:ascii="仿宋_GB2312" w:hAnsi="仿宋_GB2312" w:eastAsia="仿宋_GB2312" w:cs="仿宋_GB2312"/>
          <w:b w:val="0"/>
          <w:bCs/>
          <w:color w:val="000000"/>
          <w:sz w:val="32"/>
          <w:highlight w:val="none"/>
        </w:rPr>
        <w:t>增长</w:t>
      </w:r>
      <w:r>
        <w:rPr>
          <w:rFonts w:hint="eastAsia" w:ascii="仿宋_GB2312" w:hAnsi="仿宋_GB2312" w:eastAsia="仿宋_GB2312" w:cs="仿宋_GB2312"/>
          <w:b w:val="0"/>
          <w:bCs/>
          <w:color w:val="000000"/>
          <w:sz w:val="32"/>
          <w:highlight w:val="none"/>
          <w:lang w:val="en-US" w:eastAsia="zh-CN"/>
        </w:rPr>
        <w:t>100</w:t>
      </w:r>
      <w:r>
        <w:rPr>
          <w:rFonts w:hint="eastAsia" w:ascii="仿宋_GB2312" w:hAnsi="仿宋_GB2312" w:eastAsia="仿宋_GB2312" w:cs="仿宋_GB2312"/>
          <w:b w:val="0"/>
          <w:bCs/>
          <w:color w:val="000000"/>
          <w:sz w:val="32"/>
          <w:highlight w:val="none"/>
        </w:rPr>
        <w:t>%</w:t>
      </w:r>
      <w:r>
        <w:rPr>
          <w:rFonts w:hint="eastAsia" w:ascii="仿宋_GB2312" w:hAnsi="仿宋_GB2312" w:eastAsia="仿宋_GB2312" w:cs="仿宋_GB2312"/>
          <w:b w:val="0"/>
          <w:bCs/>
          <w:color w:val="000000"/>
          <w:sz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主要是</w:t>
      </w:r>
      <w:r>
        <w:rPr>
          <w:rFonts w:hint="eastAsia" w:ascii="仿宋_GB2312" w:eastAsia="仿宋_GB2312"/>
          <w:b w:val="0"/>
          <w:bCs/>
          <w:color w:val="auto"/>
          <w:sz w:val="32"/>
          <w:szCs w:val="32"/>
          <w:highlight w:val="none"/>
          <w:lang w:val="en-US" w:eastAsia="zh-CN"/>
        </w:rPr>
        <w:t>区级政府投资项目莲都法院内配电箱空开及屋面桥架更换改造项目9.64万元</w:t>
      </w:r>
      <w:r>
        <w:rPr>
          <w:rFonts w:hint="eastAsia" w:ascii="仿宋_GB2312" w:hAnsi="仿宋_GB2312" w:eastAsia="仿宋_GB2312" w:cs="仿宋_GB2312"/>
          <w:b w:val="0"/>
          <w:bCs/>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2.</w:t>
      </w:r>
      <w:r>
        <w:rPr>
          <w:rFonts w:hint="eastAsia" w:ascii="仿宋_GB2312" w:hAnsi="仿宋_GB2312" w:eastAsia="仿宋_GB2312" w:cs="仿宋_GB2312"/>
          <w:b w:val="0"/>
          <w:bCs/>
          <w:color w:val="000000"/>
          <w:sz w:val="32"/>
          <w:szCs w:val="32"/>
          <w:highlight w:val="none"/>
          <w:lang w:eastAsia="zh-CN"/>
        </w:rPr>
        <w:t>政府性基金</w:t>
      </w:r>
      <w:r>
        <w:rPr>
          <w:rFonts w:hint="eastAsia" w:ascii="仿宋_GB2312" w:hAnsi="仿宋_GB2312" w:eastAsia="仿宋_GB2312" w:cs="仿宋_GB2312"/>
          <w:b w:val="0"/>
          <w:bCs/>
          <w:color w:val="000000"/>
          <w:sz w:val="32"/>
          <w:szCs w:val="32"/>
          <w:highlight w:val="none"/>
          <w:lang w:val="en-US" w:eastAsia="zh-CN"/>
        </w:rPr>
        <w:t>预算拨款结构情况。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 xml:space="preserve">    </w:t>
      </w:r>
      <w:r>
        <w:rPr>
          <w:rFonts w:hint="eastAsia" w:ascii="仿宋_GB2312" w:hAnsi="仿宋_GB2312" w:eastAsia="仿宋_GB2312" w:cs="仿宋_GB2312"/>
          <w:b w:val="0"/>
          <w:bCs/>
          <w:color w:val="000000"/>
          <w:sz w:val="32"/>
          <w:szCs w:val="32"/>
          <w:highlight w:val="none"/>
          <w:lang w:eastAsia="zh-CN"/>
        </w:rPr>
        <w:t>城乡社区（类）支出</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${page296906908.ds669801938_ExpandCol65685914212}</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9.64</w:t>
      </w:r>
      <w:r>
        <w:rPr>
          <w:b w:val="0"/>
          <w:bCs/>
        </w:rPr>
        <w:fldChar w:fldCharType="end"/>
      </w:r>
      <w:r>
        <w:rPr>
          <w:rFonts w:hint="eastAsia" w:ascii="仿宋_GB2312" w:hAnsi="仿宋_GB2312" w:eastAsia="仿宋_GB2312" w:cs="仿宋_GB2312"/>
          <w:b w:val="0"/>
          <w:bCs/>
          <w:color w:val="000000"/>
          <w:sz w:val="32"/>
          <w:szCs w:val="32"/>
          <w:highlight w:val="none"/>
        </w:rPr>
        <w:t>万元</w:t>
      </w:r>
      <w:r>
        <w:rPr>
          <w:rFonts w:hint="eastAsia" w:ascii="仿宋_GB2312" w:hAnsi="仿宋_GB2312" w:eastAsia="仿宋_GB2312" w:cs="仿宋_GB2312"/>
          <w:b w:val="0"/>
          <w:bCs/>
          <w:color w:val="000000"/>
          <w:sz w:val="32"/>
          <w:szCs w:val="32"/>
          <w:highlight w:val="none"/>
          <w:lang w:eastAsia="zh-CN"/>
        </w:rPr>
        <w:t>，占</w:t>
      </w:r>
      <w:r>
        <w:rPr>
          <w:rFonts w:hint="eastAsia" w:ascii="仿宋_GB2312" w:hAnsi="仿宋_GB2312" w:eastAsia="仿宋_GB2312" w:cs="仿宋_GB2312"/>
          <w:b w:val="0"/>
          <w:bCs/>
          <w:color w:val="000000"/>
          <w:sz w:val="32"/>
          <w:szCs w:val="32"/>
          <w:highlight w:val="none"/>
          <w:lang w:eastAsia="zh-CN"/>
        </w:rPr>
        <w:fldChar w:fldCharType="begin"/>
      </w:r>
      <w:r>
        <w:rPr>
          <w:rFonts w:hint="eastAsia" w:ascii="仿宋_GB2312" w:hAnsi="仿宋_GB2312" w:eastAsia="仿宋_GB2312" w:cs="仿宋_GB2312"/>
          <w:b w:val="0"/>
          <w:bCs/>
          <w:color w:val="000000"/>
          <w:sz w:val="32"/>
          <w:szCs w:val="32"/>
          <w:highlight w:val="none"/>
          <w:lang w:eastAsia="zh-CN"/>
        </w:rPr>
        <w:instrText xml:space="preserve">MERGEFIELD ${page296906908.ds669801938_ComputeCol20220214142632}</w:instrText>
      </w:r>
      <w:r>
        <w:rPr>
          <w:rFonts w:hint="eastAsia" w:ascii="仿宋_GB2312" w:hAnsi="仿宋_GB2312" w:eastAsia="仿宋_GB2312" w:cs="仿宋_GB2312"/>
          <w:b w:val="0"/>
          <w:bCs/>
          <w:color w:val="000000"/>
          <w:sz w:val="32"/>
          <w:szCs w:val="32"/>
          <w:highlight w:val="none"/>
          <w:lang w:eastAsia="zh-CN"/>
        </w:rPr>
        <w:fldChar w:fldCharType="separate"/>
      </w:r>
      <w:r>
        <w:rPr>
          <w:rFonts w:hint="eastAsia" w:ascii="仿宋_GB2312" w:hAnsi="仿宋_GB2312" w:eastAsia="仿宋_GB2312" w:cs="仿宋_GB2312"/>
          <w:b w:val="0"/>
          <w:bCs/>
          <w:color w:val="000000"/>
          <w:sz w:val="32"/>
          <w:szCs w:val="32"/>
          <w:highlight w:val="none"/>
          <w:lang w:eastAsia="zh-CN"/>
        </w:rPr>
        <w:t>100.0</w:t>
      </w:r>
      <w:r>
        <w:rPr>
          <w:b w:val="0"/>
          <w:bCs/>
        </w:rPr>
        <w:fldChar w:fldCharType="end"/>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0"/>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 xml:space="preserve">    3.</w:t>
      </w:r>
      <w:r>
        <w:rPr>
          <w:rFonts w:hint="eastAsia" w:ascii="仿宋_GB2312" w:hAnsi="仿宋_GB2312" w:eastAsia="仿宋_GB2312" w:cs="仿宋_GB2312"/>
          <w:b w:val="0"/>
          <w:bCs/>
          <w:color w:val="000000"/>
          <w:sz w:val="32"/>
          <w:szCs w:val="32"/>
          <w:highlight w:val="none"/>
          <w:lang w:eastAsia="zh-CN"/>
        </w:rPr>
        <w:t>政府性基金</w:t>
      </w:r>
      <w:r>
        <w:rPr>
          <w:rFonts w:hint="eastAsia" w:ascii="仿宋_GB2312" w:hAnsi="仿宋_GB2312" w:eastAsia="仿宋_GB2312" w:cs="仿宋_GB2312"/>
          <w:b w:val="0"/>
          <w:bCs/>
          <w:color w:val="000000"/>
          <w:sz w:val="32"/>
          <w:szCs w:val="32"/>
          <w:highlight w:val="none"/>
          <w:lang w:val="en-US" w:eastAsia="zh-CN"/>
        </w:rPr>
        <w:t>预算拨款具体使用情况。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城乡社区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val="en-US" w:eastAsia="zh-CN"/>
        </w:rPr>
        <w:t>国有土地使用权出让收入安排的支出</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lang w:val="en-US" w:eastAsia="zh-CN"/>
        </w:rPr>
        <w:t>国有土地使用权出让收入安排的支出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9.64</w:t>
      </w:r>
      <w:r>
        <w:rPr>
          <w:rFonts w:hint="eastAsia" w:ascii="仿宋_GB2312" w:hAnsi="仿宋_GB2312" w:eastAsia="仿宋_GB2312" w:cs="仿宋_GB2312"/>
          <w:color w:val="000000"/>
          <w:sz w:val="32"/>
          <w:szCs w:val="32"/>
          <w:highlight w:val="none"/>
        </w:rPr>
        <w:t>万元，主要用于</w:t>
      </w:r>
      <w:r>
        <w:rPr>
          <w:rFonts w:hint="eastAsia" w:ascii="仿宋_GB2312" w:eastAsia="仿宋_GB2312"/>
          <w:color w:val="auto"/>
          <w:sz w:val="32"/>
          <w:szCs w:val="32"/>
          <w:highlight w:val="none"/>
          <w:lang w:val="en-US" w:eastAsia="zh-CN"/>
        </w:rPr>
        <w:t>莲都法院内配电箱空开及屋面桥架更换改造项目</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b/>
          <w:sz w:val="20"/>
          <w:lang w:val="en-US" w:eastAsia="zh-CN"/>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丽水市莲都区人民法院</w:t>
      </w:r>
      <w:r>
        <w:rPr>
          <w:highlight w:val="none"/>
        </w:rPr>
        <w:fldChar w:fldCharType="end"/>
      </w:r>
      <w:r>
        <w:rPr>
          <w:rFonts w:hint="eastAsia" w:ascii="仿宋_GB2312" w:hAnsi="仿宋_GB2312" w:eastAsia="仿宋_GB2312" w:cs="仿宋_GB2312"/>
          <w:color w:val="000000"/>
          <w:sz w:val="32"/>
          <w:szCs w:val="32"/>
          <w:highlight w:val="none"/>
          <w:lang w:val="en-US" w:eastAsia="zh-CN"/>
        </w:rPr>
        <w:t>2023年没有使用国有资本经营预算拨款安排的支出。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hAnsi="仿宋_GB2312" w:eastAsia="仿宋_GB2312"/>
          <w:sz w:val="32"/>
          <w:lang w:val="en-US" w:eastAsia="zh-CN"/>
        </w:rPr>
        <w:fldChar w:fldCharType="begin"/>
      </w:r>
      <w:r>
        <w:rPr>
          <w:rFonts w:hint="eastAsia" w:ascii="仿宋_GB2312" w:hAnsi="仿宋_GB2312" w:eastAsia="仿宋_GB2312"/>
          <w:sz w:val="32"/>
          <w:lang w:val="en-US" w:eastAsia="zh-CN"/>
        </w:rPr>
        <w:instrText xml:space="preserve">MERGEFIELD ${page855778723.ds388518707_V_RPT_BAS_AGENCY_INFO_NAME}</w:instrText>
      </w:r>
      <w:r>
        <w:rPr>
          <w:rFonts w:hint="eastAsia" w:ascii="仿宋_GB2312" w:hAnsi="仿宋_GB2312" w:eastAsia="仿宋_GB2312"/>
          <w:sz w:val="32"/>
          <w:lang w:val="en-US" w:eastAsia="zh-CN"/>
        </w:rPr>
        <w:fldChar w:fldCharType="separate"/>
      </w:r>
      <w:r>
        <w:rPr>
          <w:rFonts w:hint="eastAsia" w:ascii="仿宋_GB2312" w:hAnsi="仿宋_GB2312" w:eastAsia="仿宋_GB2312"/>
          <w:sz w:val="32"/>
          <w:lang w:val="en-US" w:eastAsia="zh-CN"/>
        </w:rPr>
        <w:t>丽水市莲都区人民法院</w:t>
      </w:r>
      <w:r>
        <w:fldChar w:fldCharType="end"/>
      </w:r>
      <w:r>
        <w:rPr>
          <w:rFonts w:hint="eastAsia" w:ascii="仿宋_GB2312" w:hAnsi="仿宋_GB2312" w:eastAsia="仿宋_GB2312"/>
          <w:sz w:val="32"/>
          <w:lang w:val="en-US" w:eastAsia="zh-CN"/>
        </w:rPr>
        <w:t>2023</w:t>
      </w:r>
      <w:r>
        <w:rPr>
          <w:rFonts w:hint="eastAsia" w:ascii="仿宋_GB2312" w:hAnsi="仿宋_GB2312" w:eastAsia="仿宋_GB2312"/>
          <w:sz w:val="32"/>
        </w:rPr>
        <w:t>年“三公”经费预算数为</w:t>
      </w:r>
      <w:r>
        <w:rPr>
          <w:rFonts w:hint="eastAsia" w:ascii="仿宋_GB2312" w:hAnsi="仿宋_GB2312" w:eastAsia="仿宋_GB2312"/>
          <w:sz w:val="32"/>
          <w:lang w:val="en-US" w:eastAsia="zh-CN"/>
        </w:rPr>
        <w:t>35.00</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cs="Times New Roman"/>
          <w:kern w:val="2"/>
          <w:sz w:val="32"/>
          <w:szCs w:val="20"/>
          <w:shd w:val="clear" w:color="auto" w:fill="FFFFFF"/>
          <w:lang w:val="en-US" w:eastAsia="zh-CN" w:bidi="ar"/>
        </w:rPr>
        <w:t>比上年预算数减少</w:t>
      </w:r>
      <w:r>
        <w:rPr>
          <w:rFonts w:hint="eastAsia" w:ascii="仿宋_GB2312" w:hAnsi="仿宋_GB2312" w:eastAsia="仿宋_GB2312" w:cs="Times New Roman"/>
          <w:kern w:val="2"/>
          <w:sz w:val="32"/>
          <w:szCs w:val="20"/>
          <w:lang w:val="en-US" w:eastAsia="zh-CN" w:bidi="ar"/>
        </w:rPr>
        <w:t>35.8</w:t>
      </w:r>
      <w:r>
        <w:rPr>
          <w:rFonts w:hint="eastAsia" w:ascii="仿宋_GB2312" w:hAnsi="仿宋_GB2312" w:eastAsia="仿宋_GB2312" w:cs="Times New Roman"/>
          <w:kern w:val="2"/>
          <w:sz w:val="32"/>
          <w:szCs w:val="20"/>
          <w:shd w:val="clear" w:color="auto" w:fill="FFFFFF"/>
          <w:lang w:val="en-US" w:eastAsia="zh-CN" w:bidi="ar"/>
        </w:rPr>
        <w:t>万元，下降50.56%</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lang w:eastAsia="zh-CN"/>
        </w:rPr>
        <w:t>具体如下：</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MERGEFIELD ${page777094869.ds444739888_ExpandCol1230910081}</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lang w:eastAsia="zh-CN"/>
        </w:rPr>
        <w:t>0.00</w:t>
      </w:r>
      <w:r>
        <w:fldChar w:fldCharType="end"/>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val="en-US" w:eastAsia="zh-CN"/>
        </w:rPr>
        <w:t>预算</w:t>
      </w:r>
      <w:r>
        <w:rPr>
          <w:rFonts w:hint="eastAsia" w:ascii="仿宋_GB2312" w:hAnsi="仿宋_GB2312" w:eastAsia="仿宋_GB2312" w:cs="仿宋_GB2312"/>
          <w:sz w:val="32"/>
          <w:szCs w:val="32"/>
          <w:highlight w:val="none"/>
          <w:lang w:eastAsia="zh-CN"/>
        </w:rPr>
        <w:t>数持平</w:t>
      </w:r>
      <w:r>
        <w:rPr>
          <w:rFonts w:hint="eastAsia" w:ascii="仿宋_GB2312" w:hAnsi="仿宋_GB2312" w:eastAsia="仿宋_GB2312" w:cs="仿宋_GB2312"/>
          <w:sz w:val="32"/>
          <w:szCs w:val="32"/>
          <w:highlight w:val="none"/>
        </w:rPr>
        <w:t>。主要用于机关预算单位人员的公务出国（境）的国际旅费、</w:t>
      </w:r>
      <w:r>
        <w:rPr>
          <w:rFonts w:hint="eastAsia" w:ascii="仿宋_GB2312" w:hAnsi="仿宋_GB2312" w:eastAsia="仿宋_GB2312" w:cs="仿宋_GB2312"/>
          <w:sz w:val="32"/>
          <w:szCs w:val="32"/>
          <w:highlight w:val="none"/>
          <w:lang w:eastAsia="zh-CN"/>
        </w:rPr>
        <w:t>国外城市间交通费、</w:t>
      </w:r>
      <w:r>
        <w:rPr>
          <w:rFonts w:hint="eastAsia" w:ascii="仿宋_GB2312" w:hAnsi="仿宋_GB2312" w:eastAsia="仿宋_GB2312" w:cs="仿宋_GB2312"/>
          <w:sz w:val="32"/>
          <w:szCs w:val="32"/>
          <w:highlight w:val="none"/>
        </w:rPr>
        <w:t>住宿费、</w:t>
      </w:r>
      <w:r>
        <w:rPr>
          <w:rFonts w:hint="eastAsia" w:ascii="仿宋_GB2312" w:hAnsi="仿宋_GB2312" w:eastAsia="仿宋_GB2312" w:cs="仿宋_GB2312"/>
          <w:sz w:val="32"/>
          <w:szCs w:val="32"/>
          <w:highlight w:val="none"/>
          <w:lang w:eastAsia="zh-CN"/>
        </w:rPr>
        <w:t>伙食费、</w:t>
      </w:r>
      <w:r>
        <w:rPr>
          <w:rFonts w:hint="eastAsia" w:ascii="仿宋_GB2312" w:hAnsi="仿宋_GB2312" w:eastAsia="仿宋_GB2312" w:cs="仿宋_GB2312"/>
          <w:sz w:val="32"/>
          <w:szCs w:val="32"/>
          <w:highlight w:val="none"/>
        </w:rPr>
        <w:t>培训费、公杂费等支出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rPr>
        <w:t>持平的主要原因是本年未有人出国</w:t>
      </w:r>
      <w:r>
        <w:rPr>
          <w:rFonts w:hint="eastAsia" w:ascii="仿宋_GB2312" w:hAnsi="仿宋_GB2312" w:eastAsia="仿宋_GB2312" w:cs="仿宋_GB2312"/>
          <w:sz w:val="32"/>
          <w:szCs w:val="32"/>
          <w:highlight w:val="none"/>
        </w:rPr>
        <w:t>。</w:t>
      </w:r>
    </w:p>
    <w:p>
      <w:pPr>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年安排公务接待费预算</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MERGEFIELD ${page777094869.ds444739888_ExpandCol7099667922}</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8.00</w:t>
      </w:r>
      <w:r>
        <w:fldChar w:fldCharType="end"/>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b w:val="0"/>
          <w:bCs w:val="0"/>
          <w:color w:val="auto"/>
          <w:sz w:val="32"/>
          <w:szCs w:val="32"/>
        </w:rPr>
        <w:t>与上年执行数持平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主要用于接待上级法院、省内外其他法院及其他部门来我院的办案、交流、考察等支出。持平的主要原因是</w:t>
      </w:r>
      <w:r>
        <w:rPr>
          <w:rFonts w:hint="eastAsia" w:ascii="仿宋_GB2312" w:hAnsi="仿宋_GB2312" w:eastAsia="仿宋_GB2312" w:cs="仿宋_GB2312"/>
          <w:b w:val="0"/>
          <w:bCs w:val="0"/>
          <w:color w:val="auto"/>
          <w:sz w:val="32"/>
          <w:szCs w:val="32"/>
          <w:lang w:eastAsia="zh-CN"/>
        </w:rPr>
        <w:t>本年</w:t>
      </w:r>
      <w:bookmarkStart w:id="0" w:name="_GoBack"/>
      <w:bookmarkEnd w:id="0"/>
      <w:r>
        <w:rPr>
          <w:rFonts w:hint="eastAsia" w:ascii="仿宋_GB2312" w:hAnsi="仿宋_GB2312" w:eastAsia="仿宋_GB2312" w:cs="仿宋_GB2312"/>
          <w:b w:val="0"/>
          <w:bCs w:val="0"/>
          <w:color w:val="auto"/>
          <w:sz w:val="32"/>
          <w:szCs w:val="32"/>
        </w:rPr>
        <w:t>支出不会增加。</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万元，</w:t>
      </w:r>
      <w:r>
        <w:rPr>
          <w:rFonts w:hint="eastAsia" w:ascii="仿宋_GB2312" w:eastAsia="仿宋_GB2312"/>
          <w:color w:val="auto"/>
          <w:sz w:val="32"/>
          <w:szCs w:val="32"/>
          <w:lang w:eastAsia="zh-CN"/>
        </w:rPr>
        <w:t>较上年减少</w:t>
      </w:r>
      <w:r>
        <w:rPr>
          <w:rFonts w:hint="eastAsia" w:ascii="仿宋_GB2312" w:eastAsia="仿宋_GB2312"/>
          <w:color w:val="auto"/>
          <w:sz w:val="32"/>
          <w:szCs w:val="32"/>
          <w:lang w:val="en-US" w:eastAsia="zh-CN"/>
        </w:rPr>
        <w:t>35.8万元</w:t>
      </w:r>
      <w:r>
        <w:rPr>
          <w:rFonts w:hint="eastAsia" w:ascii="仿宋_GB2312" w:eastAsia="仿宋_GB2312"/>
          <w:color w:val="auto"/>
          <w:sz w:val="32"/>
          <w:szCs w:val="32"/>
          <w:lang w:eastAsia="zh-CN"/>
        </w:rPr>
        <w:t>，主要原因为公务用车购置</w:t>
      </w:r>
      <w:r>
        <w:rPr>
          <w:rFonts w:hint="eastAsia" w:ascii="仿宋_GB2312" w:eastAsia="仿宋_GB2312"/>
          <w:color w:val="auto"/>
          <w:sz w:val="32"/>
          <w:szCs w:val="32"/>
          <w:lang w:val="en-US" w:eastAsia="zh-CN"/>
        </w:rPr>
        <w:t>费用减少</w:t>
      </w:r>
      <w:r>
        <w:rPr>
          <w:rFonts w:hint="eastAsia" w:ascii="仿宋_GB2312" w:eastAsia="仿宋_GB2312"/>
          <w:color w:val="auto"/>
          <w:sz w:val="32"/>
          <w:szCs w:val="32"/>
        </w:rPr>
        <w:t>。</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eastAsia="zh-CN"/>
        </w:rPr>
        <w:t>比上年</w:t>
      </w:r>
      <w:r>
        <w:rPr>
          <w:rFonts w:hint="eastAsia" w:ascii="仿宋_GB2312" w:eastAsia="仿宋_GB2312"/>
          <w:color w:val="auto"/>
          <w:sz w:val="32"/>
          <w:szCs w:val="32"/>
          <w:highlight w:val="none"/>
          <w:lang w:val="en-US" w:eastAsia="zh-CN"/>
        </w:rPr>
        <w:t>预算</w:t>
      </w:r>
      <w:r>
        <w:rPr>
          <w:rFonts w:hint="eastAsia" w:ascii="仿宋_GB2312" w:eastAsia="仿宋_GB2312"/>
          <w:color w:val="auto"/>
          <w:sz w:val="32"/>
          <w:szCs w:val="32"/>
          <w:highlight w:val="none"/>
          <w:lang w:eastAsia="zh-CN"/>
        </w:rPr>
        <w:t>数下降</w:t>
      </w:r>
      <w:r>
        <w:rPr>
          <w:rFonts w:hint="eastAsia" w:ascii="仿宋_GB2312" w:eastAsia="仿宋_GB2312"/>
          <w:color w:val="auto"/>
          <w:sz w:val="32"/>
          <w:szCs w:val="32"/>
          <w:highlight w:val="none"/>
          <w:lang w:val="en-US" w:eastAsia="zh-CN"/>
        </w:rPr>
        <w:t>100%，</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val="en-US" w:eastAsia="zh-CN"/>
        </w:rPr>
        <w:t>2023年无公车购置安排</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MERGEFIELD ${page777094869.ds444739888_ExpandCol7471383553}</w:instrText>
      </w:r>
      <w:r>
        <w:rPr>
          <w:rFonts w:hint="eastAsia" w:ascii="仿宋_GB2312" w:eastAsia="仿宋_GB2312"/>
          <w:sz w:val="32"/>
          <w:szCs w:val="32"/>
          <w:highlight w:val="none"/>
        </w:rPr>
        <w:fldChar w:fldCharType="separate"/>
      </w:r>
      <w:r>
        <w:rPr>
          <w:rFonts w:hint="eastAsia" w:ascii="仿宋_GB2312" w:eastAsia="仿宋_GB2312"/>
          <w:sz w:val="32"/>
          <w:szCs w:val="32"/>
          <w:highlight w:val="none"/>
        </w:rPr>
        <w:t>27.00</w:t>
      </w:r>
      <w:r>
        <w:rPr>
          <w:highlight w:val="none"/>
        </w:rPr>
        <w:fldChar w:fldCharType="end"/>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支出。</w:t>
      </w:r>
      <w:r>
        <w:rPr>
          <w:rFonts w:hint="eastAsia" w:ascii="仿宋_GB2312" w:eastAsia="仿宋_GB2312"/>
          <w:sz w:val="32"/>
          <w:szCs w:val="32"/>
          <w:highlight w:val="none"/>
          <w:lang w:eastAsia="zh-CN"/>
        </w:rPr>
        <w:t>较上年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w:t>
      </w:r>
      <w:r>
        <w:rPr>
          <w:rFonts w:hint="eastAsia" w:ascii="仿宋_GB2312" w:eastAsia="仿宋_GB2312"/>
          <w:b w:val="0"/>
          <w:bCs w:val="0"/>
          <w:sz w:val="32"/>
          <w:szCs w:val="32"/>
          <w:highlight w:val="none"/>
          <w:lang w:eastAsia="zh-CN"/>
        </w:rPr>
        <w:t>减少</w:t>
      </w:r>
      <w:r>
        <w:rPr>
          <w:rFonts w:hint="eastAsia" w:ascii="仿宋_GB2312" w:eastAsia="仿宋_GB2312"/>
          <w:b w:val="0"/>
          <w:bCs w:val="0"/>
          <w:sz w:val="32"/>
          <w:szCs w:val="32"/>
          <w:highlight w:val="none"/>
          <w:lang w:val="en-US" w:eastAsia="zh-CN"/>
        </w:rPr>
        <w:t>30.77%，</w:t>
      </w:r>
      <w:r>
        <w:rPr>
          <w:rFonts w:hint="eastAsia" w:ascii="仿宋_GB2312" w:eastAsia="仿宋_GB2312"/>
          <w:b w:val="0"/>
          <w:bCs w:val="0"/>
          <w:sz w:val="32"/>
          <w:szCs w:val="32"/>
          <w:highlight w:val="none"/>
          <w:lang w:eastAsia="zh-CN"/>
        </w:rPr>
        <w:t>主要原因是公务用车指标控制。</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val="0"/>
          <w:bCs/>
          <w:color w:val="000000"/>
          <w:sz w:val="32"/>
          <w:szCs w:val="32"/>
          <w:highlight w:val="none"/>
          <w:u w:val="none"/>
          <w:lang w:eastAsia="zh-CN"/>
        </w:rPr>
      </w:pPr>
      <w:r>
        <w:rPr>
          <w:rFonts w:hint="eastAsia" w:ascii="仿宋_GB2312" w:hAnsi="仿宋_GB2312" w:eastAsia="仿宋_GB2312" w:cs="仿宋_GB2312"/>
          <w:b w:val="0"/>
          <w:bCs/>
          <w:color w:val="000000"/>
          <w:sz w:val="32"/>
          <w:szCs w:val="32"/>
          <w:highlight w:val="none"/>
          <w:u w:val="none"/>
          <w:lang w:val="en-US" w:eastAsia="zh-CN"/>
        </w:rPr>
        <w:t>1.</w:t>
      </w:r>
      <w:r>
        <w:rPr>
          <w:rFonts w:hint="eastAsia" w:ascii="仿宋_GB2312" w:hAnsi="仿宋_GB2312" w:eastAsia="仿宋_GB2312" w:cs="仿宋_GB2312"/>
          <w:b w:val="0"/>
          <w:bCs/>
          <w:color w:val="000000"/>
          <w:sz w:val="32"/>
          <w:szCs w:val="32"/>
          <w:highlight w:val="none"/>
          <w:u w:val="none"/>
          <w:lang w:eastAsia="zh-CN"/>
        </w:rPr>
        <w:t>机关运行经费</w:t>
      </w:r>
      <w:r>
        <w:rPr>
          <w:rFonts w:hint="eastAsia" w:ascii="仿宋_GB2312" w:hAnsi="仿宋_GB2312" w:eastAsia="仿宋_GB2312" w:cs="仿宋_GB2312"/>
          <w:b w:val="0"/>
          <w:bCs/>
          <w:color w:val="000000"/>
          <w:sz w:val="32"/>
          <w:szCs w:val="32"/>
          <w:highlight w:val="none"/>
          <w:u w:val="none"/>
          <w:lang w:val="en-US" w:eastAsia="zh-CN"/>
        </w:rPr>
        <w:t>。</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sz w:val="32"/>
          <w:szCs w:val="32"/>
          <w:highlight w:val="none"/>
          <w:u w:val="none"/>
        </w:rPr>
      </w:pPr>
      <w:r>
        <w:rPr>
          <w:rFonts w:hint="eastAsia" w:ascii="仿宋_GB2312" w:eastAsia="仿宋_GB2312"/>
          <w:b w:val="0"/>
          <w:bCs/>
          <w:sz w:val="32"/>
          <w:szCs w:val="32"/>
          <w:highlight w:val="none"/>
          <w:u w:val="none"/>
          <w:lang w:val="en-US" w:eastAsia="zh-CN"/>
        </w:rPr>
        <w:t>2023年</w:t>
      </w:r>
      <w:r>
        <w:rPr>
          <w:rFonts w:hint="eastAsia" w:ascii="仿宋_GB2312" w:eastAsia="仿宋_GB2312"/>
          <w:b w:val="0"/>
          <w:bCs/>
          <w:sz w:val="32"/>
          <w:szCs w:val="32"/>
          <w:highlight w:val="none"/>
          <w:u w:val="none"/>
          <w:lang w:val="en-US" w:eastAsia="zh-CN"/>
        </w:rPr>
        <w:fldChar w:fldCharType="begin"/>
      </w:r>
      <w:r>
        <w:rPr>
          <w:rFonts w:hint="eastAsia" w:ascii="仿宋_GB2312" w:eastAsia="仿宋_GB2312"/>
          <w:b w:val="0"/>
          <w:bCs/>
          <w:sz w:val="32"/>
          <w:szCs w:val="32"/>
          <w:highlight w:val="none"/>
          <w:u w:val="none"/>
          <w:lang w:val="en-US" w:eastAsia="zh-CN"/>
        </w:rPr>
        <w:instrText xml:space="preserve">MERGEFIELD ${page855778723.ds388518707_V_RPT_BAS_AGENCY_INFO_NAME}</w:instrText>
      </w:r>
      <w:r>
        <w:rPr>
          <w:rFonts w:hint="eastAsia" w:ascii="仿宋_GB2312" w:eastAsia="仿宋_GB2312"/>
          <w:b w:val="0"/>
          <w:bCs/>
          <w:sz w:val="32"/>
          <w:szCs w:val="32"/>
          <w:highlight w:val="none"/>
          <w:u w:val="none"/>
          <w:lang w:val="en-US" w:eastAsia="zh-CN"/>
        </w:rPr>
        <w:fldChar w:fldCharType="separate"/>
      </w:r>
      <w:r>
        <w:rPr>
          <w:rFonts w:hint="eastAsia" w:ascii="仿宋_GB2312" w:eastAsia="仿宋_GB2312"/>
          <w:b w:val="0"/>
          <w:bCs/>
          <w:sz w:val="32"/>
          <w:szCs w:val="32"/>
          <w:highlight w:val="none"/>
          <w:u w:val="none"/>
          <w:lang w:val="en-US" w:eastAsia="zh-CN"/>
        </w:rPr>
        <w:t>丽水市莲都区人民法院</w:t>
      </w:r>
      <w:r>
        <w:rPr>
          <w:b w:val="0"/>
          <w:bCs/>
        </w:rPr>
        <w:fldChar w:fldCharType="end"/>
      </w:r>
      <w:r>
        <w:rPr>
          <w:rFonts w:hint="eastAsia" w:ascii="仿宋_GB2312" w:eastAsia="仿宋_GB2312"/>
          <w:b w:val="0"/>
          <w:bCs/>
          <w:color w:val="000000"/>
          <w:sz w:val="32"/>
          <w:szCs w:val="32"/>
          <w:highlight w:val="none"/>
          <w:lang w:eastAsia="zh-CN"/>
        </w:rPr>
        <w:t>本级机关运行经费财政拨款预算</w:t>
      </w:r>
      <w:r>
        <w:rPr>
          <w:rFonts w:hint="eastAsia" w:ascii="仿宋_GB2312" w:eastAsia="仿宋_GB2312"/>
          <w:b w:val="0"/>
          <w:bCs/>
          <w:color w:val="000000"/>
          <w:sz w:val="32"/>
          <w:szCs w:val="32"/>
          <w:highlight w:val="none"/>
          <w:lang w:eastAsia="zh-CN"/>
        </w:rPr>
        <w:fldChar w:fldCharType="begin"/>
      </w:r>
      <w:r>
        <w:rPr>
          <w:rFonts w:hint="eastAsia" w:ascii="仿宋_GB2312" w:eastAsia="仿宋_GB2312"/>
          <w:b w:val="0"/>
          <w:bCs/>
          <w:color w:val="000000"/>
          <w:sz w:val="32"/>
          <w:szCs w:val="32"/>
          <w:highlight w:val="none"/>
          <w:lang w:eastAsia="zh-CN"/>
        </w:rPr>
        <w:instrText xml:space="preserve">MERGEFIELD ${page453303444.ds669801938_ComputeCol20220218163707}</w:instrText>
      </w:r>
      <w:r>
        <w:rPr>
          <w:rFonts w:hint="eastAsia" w:ascii="仿宋_GB2312" w:eastAsia="仿宋_GB2312"/>
          <w:b w:val="0"/>
          <w:bCs/>
          <w:color w:val="000000"/>
          <w:sz w:val="32"/>
          <w:szCs w:val="32"/>
          <w:highlight w:val="none"/>
          <w:lang w:eastAsia="zh-CN"/>
        </w:rPr>
        <w:fldChar w:fldCharType="separate"/>
      </w:r>
      <w:r>
        <w:rPr>
          <w:rFonts w:hint="eastAsia" w:ascii="仿宋_GB2312" w:eastAsia="仿宋_GB2312"/>
          <w:b w:val="0"/>
          <w:bCs/>
          <w:color w:val="000000"/>
          <w:sz w:val="32"/>
          <w:szCs w:val="32"/>
          <w:highlight w:val="none"/>
          <w:lang w:eastAsia="zh-CN"/>
        </w:rPr>
        <w:t>536.83</w:t>
      </w:r>
      <w:r>
        <w:rPr>
          <w:b w:val="0"/>
          <w:bCs/>
        </w:rPr>
        <w:fldChar w:fldCharType="end"/>
      </w:r>
      <w:r>
        <w:rPr>
          <w:rFonts w:hint="eastAsia" w:ascii="仿宋_GB2312" w:eastAsia="仿宋_GB2312"/>
          <w:b w:val="0"/>
          <w:bCs/>
          <w:color w:val="000000"/>
          <w:sz w:val="32"/>
          <w:szCs w:val="32"/>
          <w:highlight w:val="none"/>
          <w:lang w:val="en-US" w:eastAsia="zh-CN"/>
        </w:rPr>
        <w:t>万元，比上年预算增加62.89</w:t>
      </w:r>
      <w:r>
        <w:rPr>
          <w:rFonts w:hint="eastAsia" w:ascii="仿宋_GB2312" w:eastAsia="仿宋_GB2312"/>
          <w:b w:val="0"/>
          <w:bCs/>
          <w:sz w:val="32"/>
          <w:szCs w:val="32"/>
          <w:highlight w:val="none"/>
        </w:rPr>
        <w:t>万元</w:t>
      </w:r>
      <w:r>
        <w:rPr>
          <w:rFonts w:hint="eastAsia" w:ascii="仿宋_GB2312" w:hAnsi="仿宋_GB2312" w:eastAsia="仿宋_GB2312" w:cs="Times New Roman"/>
          <w:b w:val="0"/>
          <w:bCs/>
          <w:kern w:val="2"/>
          <w:sz w:val="32"/>
          <w:szCs w:val="20"/>
          <w:shd w:val="clear" w:color="auto" w:fill="auto"/>
          <w:lang w:val="en-US" w:eastAsia="zh-CN" w:bidi="ar"/>
        </w:rPr>
        <w:t>，增长13.27%，主要是</w:t>
      </w:r>
      <w:r>
        <w:rPr>
          <w:rFonts w:hint="eastAsia" w:ascii="仿宋_GB2312" w:hAnsi="仿宋_GB2312" w:eastAsia="仿宋_GB2312"/>
          <w:b w:val="0"/>
          <w:bCs/>
          <w:color w:val="auto"/>
          <w:kern w:val="2"/>
          <w:sz w:val="32"/>
          <w:szCs w:val="20"/>
          <w:lang w:eastAsia="zh-CN"/>
        </w:rPr>
        <w:t>正式在编人数增加，总体的公用经费相对增加</w:t>
      </w:r>
      <w:r>
        <w:rPr>
          <w:rFonts w:hint="eastAsia" w:ascii="仿宋_GB2312" w:eastAsia="仿宋_GB2312"/>
          <w:b w:val="0"/>
          <w:bCs/>
          <w:color w:val="000000"/>
          <w:sz w:val="32"/>
          <w:szCs w:val="32"/>
          <w:highlight w:val="none"/>
          <w:lang w:val="en-US" w:eastAsia="zh-CN"/>
        </w:rPr>
        <w:t>。</w:t>
      </w:r>
    </w:p>
    <w:p>
      <w:pPr>
        <w:pStyle w:val="16"/>
        <w:keepNext w:val="0"/>
        <w:keepLines w:val="0"/>
        <w:pageBreakBefore w:val="0"/>
        <w:numPr>
          <w:ilvl w:val="0"/>
          <w:numId w:val="3"/>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政府采购情况。</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sz w:val="32"/>
          <w:szCs w:val="32"/>
          <w:highlight w:val="none"/>
          <w:u w:val="none"/>
          <w:lang w:eastAsia="zh-CN"/>
        </w:rPr>
      </w:pPr>
      <w:r>
        <w:rPr>
          <w:rFonts w:hint="eastAsia" w:ascii="仿宋_GB2312" w:eastAsia="仿宋_GB2312"/>
          <w:b w:val="0"/>
          <w:bCs/>
          <w:sz w:val="32"/>
          <w:szCs w:val="32"/>
          <w:highlight w:val="none"/>
          <w:u w:val="none"/>
          <w:lang w:val="en-US" w:eastAsia="zh-CN"/>
        </w:rPr>
        <w:t>2023年</w:t>
      </w:r>
      <w:r>
        <w:rPr>
          <w:rFonts w:hint="eastAsia" w:ascii="仿宋_GB2312" w:eastAsia="仿宋_GB2312"/>
          <w:b w:val="0"/>
          <w:bCs/>
          <w:sz w:val="32"/>
          <w:szCs w:val="32"/>
          <w:highlight w:val="none"/>
          <w:u w:val="none"/>
          <w:lang w:val="en-US" w:eastAsia="zh-CN"/>
        </w:rPr>
        <w:fldChar w:fldCharType="begin"/>
      </w:r>
      <w:r>
        <w:rPr>
          <w:rFonts w:hint="eastAsia" w:ascii="仿宋_GB2312" w:eastAsia="仿宋_GB2312"/>
          <w:b w:val="0"/>
          <w:bCs/>
          <w:sz w:val="32"/>
          <w:szCs w:val="32"/>
          <w:highlight w:val="none"/>
          <w:u w:val="none"/>
          <w:lang w:val="en-US" w:eastAsia="zh-CN"/>
        </w:rPr>
        <w:instrText xml:space="preserve">MERGEFIELD ${page855778723.ds388518707_V_RPT_BAS_AGENCY_INFO_NAME}</w:instrText>
      </w:r>
      <w:r>
        <w:rPr>
          <w:rFonts w:hint="eastAsia" w:ascii="仿宋_GB2312" w:eastAsia="仿宋_GB2312"/>
          <w:b w:val="0"/>
          <w:bCs/>
          <w:sz w:val="32"/>
          <w:szCs w:val="32"/>
          <w:highlight w:val="none"/>
          <w:u w:val="none"/>
          <w:lang w:val="en-US" w:eastAsia="zh-CN"/>
        </w:rPr>
        <w:fldChar w:fldCharType="separate"/>
      </w:r>
      <w:r>
        <w:rPr>
          <w:rFonts w:hint="eastAsia" w:ascii="仿宋_GB2312" w:eastAsia="仿宋_GB2312"/>
          <w:b w:val="0"/>
          <w:bCs/>
          <w:sz w:val="32"/>
          <w:szCs w:val="32"/>
          <w:highlight w:val="none"/>
          <w:u w:val="none"/>
          <w:lang w:val="en-US" w:eastAsia="zh-CN"/>
        </w:rPr>
        <w:t>丽水市莲都区人民法院</w:t>
      </w:r>
      <w:r>
        <w:rPr>
          <w:b w:val="0"/>
          <w:bCs/>
        </w:rPr>
        <w:fldChar w:fldCharType="end"/>
      </w:r>
      <w:r>
        <w:rPr>
          <w:rFonts w:hint="eastAsia" w:ascii="仿宋_GB2312" w:eastAsia="仿宋_GB2312"/>
          <w:b w:val="0"/>
          <w:bCs/>
          <w:color w:val="000000"/>
          <w:sz w:val="32"/>
          <w:szCs w:val="32"/>
          <w:highlight w:val="none"/>
          <w:lang w:eastAsia="zh-CN"/>
        </w:rPr>
        <w:t>各单位政府采购预算总额</w:t>
      </w:r>
      <w:r>
        <w:rPr>
          <w:rFonts w:hint="eastAsia" w:ascii="仿宋_GB2312" w:eastAsia="仿宋_GB2312"/>
          <w:b w:val="0"/>
          <w:bCs/>
          <w:color w:val="000000"/>
          <w:sz w:val="32"/>
          <w:szCs w:val="32"/>
          <w:highlight w:val="none"/>
          <w:lang w:eastAsia="zh-CN"/>
        </w:rPr>
        <w:fldChar w:fldCharType="begin"/>
      </w:r>
      <w:r>
        <w:rPr>
          <w:rFonts w:hint="eastAsia" w:ascii="仿宋_GB2312" w:eastAsia="仿宋_GB2312"/>
          <w:b w:val="0"/>
          <w:bCs/>
          <w:color w:val="000000"/>
          <w:sz w:val="32"/>
          <w:szCs w:val="32"/>
          <w:highlight w:val="none"/>
          <w:lang w:eastAsia="zh-CN"/>
        </w:rPr>
        <w:instrText xml:space="preserve">MERGEFIELD ${page991489089.ds360843206_ComputeCol20230208104056}</w:instrText>
      </w:r>
      <w:r>
        <w:rPr>
          <w:rFonts w:hint="eastAsia" w:ascii="仿宋_GB2312" w:eastAsia="仿宋_GB2312"/>
          <w:b w:val="0"/>
          <w:bCs/>
          <w:color w:val="000000"/>
          <w:sz w:val="32"/>
          <w:szCs w:val="32"/>
          <w:highlight w:val="none"/>
          <w:lang w:eastAsia="zh-CN"/>
        </w:rPr>
        <w:fldChar w:fldCharType="separate"/>
      </w:r>
      <w:r>
        <w:rPr>
          <w:rFonts w:hint="eastAsia" w:ascii="仿宋_GB2312" w:eastAsia="仿宋_GB2312"/>
          <w:b w:val="0"/>
          <w:bCs/>
          <w:color w:val="000000"/>
          <w:sz w:val="32"/>
          <w:szCs w:val="32"/>
          <w:highlight w:val="none"/>
          <w:lang w:eastAsia="zh-CN"/>
        </w:rPr>
        <w:t>452.59</w:t>
      </w:r>
      <w:r>
        <w:rPr>
          <w:b w:val="0"/>
          <w:bCs/>
        </w:rPr>
        <w:fldChar w:fldCharType="end"/>
      </w:r>
      <w:r>
        <w:rPr>
          <w:rFonts w:hint="eastAsia" w:ascii="仿宋_GB2312" w:eastAsia="仿宋_GB2312"/>
          <w:b w:val="0"/>
          <w:bCs/>
          <w:color w:val="000000"/>
          <w:sz w:val="32"/>
          <w:szCs w:val="32"/>
          <w:highlight w:val="none"/>
          <w:lang w:val="en-US" w:eastAsia="zh-CN"/>
        </w:rPr>
        <w:t>万元，其中：政府采购货物预算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${page991489089.ds360843206_ExpandCol7582381261}</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76.93</w:t>
      </w:r>
      <w:r>
        <w:rPr>
          <w:b w:val="0"/>
          <w:bCs/>
        </w:rPr>
        <w:fldChar w:fldCharType="end"/>
      </w:r>
      <w:r>
        <w:rPr>
          <w:rFonts w:hint="eastAsia" w:ascii="仿宋_GB2312" w:eastAsia="仿宋_GB2312"/>
          <w:b w:val="0"/>
          <w:bCs/>
          <w:color w:val="000000"/>
          <w:sz w:val="32"/>
          <w:szCs w:val="32"/>
          <w:highlight w:val="none"/>
          <w:lang w:val="en-US" w:eastAsia="zh-CN"/>
        </w:rPr>
        <w:t>万元、政府采购工程预算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${page991489089.ds360843206_ExpandCol3415079511}</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0.00</w:t>
      </w:r>
      <w:r>
        <w:rPr>
          <w:b w:val="0"/>
          <w:bCs/>
        </w:rPr>
        <w:fldChar w:fldCharType="end"/>
      </w:r>
      <w:r>
        <w:rPr>
          <w:rFonts w:hint="eastAsia" w:ascii="仿宋_GB2312" w:eastAsia="仿宋_GB2312"/>
          <w:b w:val="0"/>
          <w:bCs/>
          <w:color w:val="000000"/>
          <w:sz w:val="32"/>
          <w:szCs w:val="32"/>
          <w:highlight w:val="none"/>
          <w:lang w:val="en-US" w:eastAsia="zh-CN"/>
        </w:rPr>
        <w:t>万元、政府采购服务预算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${page991489089.ds360843206_ComputeCol20230207170923}</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375.66</w:t>
      </w:r>
      <w:r>
        <w:rPr>
          <w:b w:val="0"/>
          <w:bCs/>
        </w:rPr>
        <w:fldChar w:fldCharType="end"/>
      </w:r>
      <w:r>
        <w:rPr>
          <w:rFonts w:hint="eastAsia" w:ascii="仿宋_GB2312" w:eastAsia="仿宋_GB2312"/>
          <w:b w:val="0"/>
          <w:bCs/>
          <w:color w:val="000000"/>
          <w:sz w:val="32"/>
          <w:szCs w:val="32"/>
          <w:highlight w:val="none"/>
          <w:lang w:val="en-US" w:eastAsia="zh-CN"/>
        </w:rPr>
        <w:t>万元。</w:t>
      </w:r>
    </w:p>
    <w:p>
      <w:pPr>
        <w:pStyle w:val="16"/>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pacing w:val="6"/>
          <w:sz w:val="32"/>
          <w:szCs w:val="32"/>
          <w:highlight w:val="none"/>
          <w:u w:val="none"/>
          <w:lang w:val="en-US" w:eastAsia="zh-CN"/>
        </w:rPr>
        <w:t>截至2022年12月31日，丽水市莲都区人民法院</w:t>
      </w:r>
      <w:r>
        <w:rPr>
          <w:rFonts w:hint="eastAsia" w:ascii="仿宋_GB2312" w:hAnsi="仿宋_GB2312" w:eastAsia="仿宋_GB2312" w:cs="仿宋_GB2312"/>
          <w:b w:val="0"/>
          <w:bCs/>
          <w:color w:val="auto"/>
          <w:spacing w:val="6"/>
          <w:sz w:val="32"/>
          <w:szCs w:val="32"/>
          <w:highlight w:val="none"/>
          <w:lang w:eastAsia="zh-CN"/>
        </w:rPr>
        <w:t>共有车辆</w:t>
      </w:r>
      <w:r>
        <w:rPr>
          <w:rFonts w:hint="eastAsia" w:ascii="仿宋_GB2312" w:hAnsi="仿宋_GB2312" w:eastAsia="仿宋_GB2312" w:cs="仿宋_GB2312"/>
          <w:b w:val="0"/>
          <w:bCs/>
          <w:color w:val="auto"/>
          <w:sz w:val="32"/>
          <w:szCs w:val="32"/>
          <w:highlight w:val="none"/>
          <w:lang w:val="en-US" w:eastAsia="zh-CN"/>
        </w:rPr>
        <w:t xml:space="preserve">14辆，其中，领导用车0辆、机要通信用车及应急保障用车0辆、执法执勤用车14辆、特种专业技术用车0辆、老干部服务用车0辆、行政执法专用车0辆。单位价值50万元以上通用设备1台，单位价值100万元以上专用设备0台。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b w:val="0"/>
          <w:bCs/>
          <w:color w:val="auto"/>
          <w:sz w:val="32"/>
          <w:szCs w:val="32"/>
          <w:highlight w:val="none"/>
          <w:lang w:val="en-US" w:eastAsia="zh-CN"/>
        </w:rPr>
        <w:t>2023年部门预算安排购置车辆4辆，其中，领导用车0辆、机要通信用车及应急保障用车0辆、执法执勤用车4辆、特种专业技术用车0辆、老干部服务用车0辆、行政执法专用车0辆。2023年部门预算安排购置单位价值50万元以上通用设备0台，单位价值100万元以上专用设备0台。</w:t>
      </w:r>
    </w:p>
    <w:p>
      <w:pPr>
        <w:pStyle w:val="16"/>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2023年</w:t>
      </w:r>
      <w:r>
        <w:rPr>
          <w:rFonts w:hint="eastAsia" w:ascii="仿宋_GB2312" w:hAnsi="仿宋_GB2312" w:eastAsia="仿宋_GB2312" w:cs="仿宋_GB2312"/>
          <w:b w:val="0"/>
          <w:bCs/>
          <w:color w:val="auto"/>
          <w:sz w:val="32"/>
          <w:szCs w:val="32"/>
          <w:highlight w:val="none"/>
          <w:lang w:val="en-US" w:eastAsia="zh-CN"/>
        </w:rPr>
        <w:fldChar w:fldCharType="begin"/>
      </w:r>
      <w:r>
        <w:rPr>
          <w:rFonts w:hint="eastAsia" w:ascii="仿宋_GB2312" w:hAnsi="仿宋_GB2312" w:eastAsia="仿宋_GB2312" w:cs="仿宋_GB2312"/>
          <w:b w:val="0"/>
          <w:bCs/>
          <w:color w:val="auto"/>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b w:val="0"/>
          <w:bCs/>
          <w:color w:val="auto"/>
          <w:sz w:val="32"/>
          <w:szCs w:val="32"/>
          <w:highlight w:val="none"/>
          <w:lang w:val="en-US" w:eastAsia="zh-CN"/>
        </w:rPr>
        <w:fldChar w:fldCharType="separate"/>
      </w:r>
      <w:r>
        <w:rPr>
          <w:rFonts w:hint="eastAsia" w:ascii="仿宋_GB2312" w:hAnsi="仿宋_GB2312" w:eastAsia="仿宋_GB2312" w:cs="仿宋_GB2312"/>
          <w:b w:val="0"/>
          <w:bCs/>
          <w:color w:val="auto"/>
          <w:sz w:val="32"/>
          <w:szCs w:val="32"/>
          <w:highlight w:val="none"/>
          <w:lang w:val="en-US" w:eastAsia="zh-CN"/>
        </w:rPr>
        <w:t>丽水市莲都区人民法院</w:t>
      </w:r>
      <w:r>
        <w:rPr>
          <w:b w:val="0"/>
          <w:bCs/>
        </w:rPr>
        <w:fldChar w:fldCharType="end"/>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其他运转类项目和特定目标类项目均实行绩效目标管理，涉及一般公共预算拨款</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MERGEFIELD ${page296906908.ds669801938_ComputeCol20220214111453}</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2091.1</w:t>
      </w:r>
      <w:r>
        <w:fldChar w:fldCharType="end"/>
      </w:r>
      <w:r>
        <w:rPr>
          <w:rFonts w:hint="eastAsia" w:ascii="仿宋_GB2312" w:hAnsi="仿宋_GB2312" w:eastAsia="仿宋_GB2312" w:cs="仿宋_GB2312"/>
          <w:color w:val="auto"/>
          <w:sz w:val="32"/>
          <w:szCs w:val="32"/>
          <w:highlight w:val="none"/>
          <w:lang w:val="en-US" w:eastAsia="zh-CN"/>
        </w:rPr>
        <w:t>万元，一级项目4个。</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政府性基金预算财政拨款和国有资本经营预算拨款。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7.一般公共服务支出（类）其他共产党事物支出（款）其他共产党事物支出（项）：指院里司法救助资金支出。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8.公共安全支出（类）法院（款）行政运行（项）：指院的基本支出。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9.公共安全支出（类）法院（款）机关服务（项）：指法院用于物业管理费支出。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10.公共安全支出（类）法院（款）案件执行（项）：对刑事、民事、行政、涉外等案件执行活动和对各种非诉执行活动的支出。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11.公共安全支出（类）法院（款）“两庭”建设（项）：指人民法院审判用房、人民法庭用房维修和设备购置，以及审判安全监控设备购置及运行管理等支出。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12.公共安全支出（类）法院（款）其他法院支出（项）：指法院除上述项目以外其他支出。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13.社会保障和就业支出（类）行政事业单位养老支出（款）机关事业单位基本养老保险缴费支出（项）：指单位缴纳的基本养老保险费支出。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14.社会保障和就业支出（类）行政事业单位养老支出（款）机关事业单位职业年金缴费支出（项）：指单位实际缴纳职业年金支出。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15.社会保障和就业支出（类）行政事业单位养老支出（款）其他行政事业单位养老支出（项）：指单位用于离退休方面支出。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16.卫生健康支出（类）行政事业单位医疗（款）行政单位医疗（项）：指单位缴纳医疗保险费支出。</w:t>
      </w:r>
    </w:p>
    <w:p>
      <w:pPr>
        <w:pStyle w:val="2"/>
        <w:ind w:firstLine="640" w:firstLineChars="200"/>
        <w:rPr>
          <w:rFonts w:hint="default"/>
          <w:lang w:val="en-US" w:eastAsia="zh-CN"/>
        </w:rPr>
      </w:pPr>
      <w:r>
        <w:rPr>
          <w:rFonts w:hint="eastAsia" w:cs="仿宋_GB2312"/>
          <w:color w:val="auto"/>
          <w:sz w:val="32"/>
          <w:szCs w:val="32"/>
          <w:highlight w:val="none"/>
          <w:lang w:val="en-US" w:eastAsia="zh-CN"/>
        </w:rPr>
        <w:t>17.城乡社区支出（类）国有土地使用权出让收入安排的支出（款）其他国有土地使用权出让收入安排的支出（项）：指院内</w:t>
      </w:r>
      <w:r>
        <w:rPr>
          <w:rFonts w:hint="eastAsia" w:ascii="仿宋_GB2312" w:eastAsia="仿宋_GB2312"/>
          <w:color w:val="auto"/>
          <w:sz w:val="32"/>
          <w:szCs w:val="32"/>
          <w:highlight w:val="none"/>
          <w:lang w:val="en-US" w:eastAsia="zh-CN"/>
        </w:rPr>
        <w:t>配电箱空开及屋面桥架更换改造项目</w:t>
      </w:r>
      <w:r>
        <w:rPr>
          <w:rFonts w:hint="eastAsia"/>
          <w:color w:val="auto"/>
          <w:sz w:val="32"/>
          <w:szCs w:val="32"/>
          <w:highlight w:val="none"/>
          <w:lang w:val="en-US" w:eastAsia="zh-CN"/>
        </w:rPr>
        <w:t>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18.住房保障支出（类）住房改革支出（款）住房公积金（项）：指单位为职工缴纳的住房公积金支出。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1B0"/>
    <w:multiLevelType w:val="singleLevel"/>
    <w:tmpl w:val="143861B0"/>
    <w:lvl w:ilvl="0" w:tentative="0">
      <w:start w:val="3"/>
      <w:numFmt w:val="decimal"/>
      <w:lvlText w:val="%1."/>
      <w:lvlJc w:val="left"/>
      <w:pPr>
        <w:tabs>
          <w:tab w:val="left" w:pos="312"/>
        </w:tabs>
        <w:ind w:left="963" w:leftChars="0" w:firstLine="0" w:firstLineChars="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23114"/>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86842"/>
    <w:rsid w:val="00AB2741"/>
    <w:rsid w:val="00B109C2"/>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405C62"/>
    <w:rsid w:val="01F263DB"/>
    <w:rsid w:val="01F648EB"/>
    <w:rsid w:val="024C6702"/>
    <w:rsid w:val="026505B4"/>
    <w:rsid w:val="028630A1"/>
    <w:rsid w:val="02FD4879"/>
    <w:rsid w:val="038C7FF1"/>
    <w:rsid w:val="03AA3E3B"/>
    <w:rsid w:val="03EA5C50"/>
    <w:rsid w:val="04600135"/>
    <w:rsid w:val="04D84BDD"/>
    <w:rsid w:val="05054F3D"/>
    <w:rsid w:val="05837C43"/>
    <w:rsid w:val="05F46152"/>
    <w:rsid w:val="05F835B0"/>
    <w:rsid w:val="05FE6EA1"/>
    <w:rsid w:val="06113422"/>
    <w:rsid w:val="063B27DE"/>
    <w:rsid w:val="065E25EC"/>
    <w:rsid w:val="06835E42"/>
    <w:rsid w:val="07487AC1"/>
    <w:rsid w:val="07623DA7"/>
    <w:rsid w:val="07C81A1F"/>
    <w:rsid w:val="081119C7"/>
    <w:rsid w:val="08DE4DFD"/>
    <w:rsid w:val="09AB4704"/>
    <w:rsid w:val="0A1D1E06"/>
    <w:rsid w:val="0A4C7CCD"/>
    <w:rsid w:val="0B486D9D"/>
    <w:rsid w:val="0B4F52A1"/>
    <w:rsid w:val="0B652DFD"/>
    <w:rsid w:val="0BD448F3"/>
    <w:rsid w:val="0C7B7749"/>
    <w:rsid w:val="0CE2397A"/>
    <w:rsid w:val="0CEE5818"/>
    <w:rsid w:val="0D722531"/>
    <w:rsid w:val="0DDF3EA9"/>
    <w:rsid w:val="0DFE4297"/>
    <w:rsid w:val="0F0A0BC6"/>
    <w:rsid w:val="0F216C64"/>
    <w:rsid w:val="0F3E23E2"/>
    <w:rsid w:val="0F5C4EB1"/>
    <w:rsid w:val="0F760C96"/>
    <w:rsid w:val="0F8B51E9"/>
    <w:rsid w:val="106B2554"/>
    <w:rsid w:val="1085571C"/>
    <w:rsid w:val="10E67674"/>
    <w:rsid w:val="12970A77"/>
    <w:rsid w:val="12D300E7"/>
    <w:rsid w:val="136B79EF"/>
    <w:rsid w:val="13811EEE"/>
    <w:rsid w:val="14861683"/>
    <w:rsid w:val="14887B46"/>
    <w:rsid w:val="14EF3497"/>
    <w:rsid w:val="153C45B3"/>
    <w:rsid w:val="154627E4"/>
    <w:rsid w:val="157947AC"/>
    <w:rsid w:val="1588286F"/>
    <w:rsid w:val="15DB09EF"/>
    <w:rsid w:val="162217FF"/>
    <w:rsid w:val="1650535C"/>
    <w:rsid w:val="16B75B8F"/>
    <w:rsid w:val="16FE1938"/>
    <w:rsid w:val="170C3948"/>
    <w:rsid w:val="175F00E7"/>
    <w:rsid w:val="17EC7FC1"/>
    <w:rsid w:val="17F81734"/>
    <w:rsid w:val="180061CB"/>
    <w:rsid w:val="18154C5A"/>
    <w:rsid w:val="18EF3804"/>
    <w:rsid w:val="19100E6C"/>
    <w:rsid w:val="19416958"/>
    <w:rsid w:val="195C3A7E"/>
    <w:rsid w:val="19F72F11"/>
    <w:rsid w:val="1A2375F0"/>
    <w:rsid w:val="1AC0275A"/>
    <w:rsid w:val="1AE500E3"/>
    <w:rsid w:val="1B1D1342"/>
    <w:rsid w:val="1B2A6629"/>
    <w:rsid w:val="1BBC2184"/>
    <w:rsid w:val="1C103D2D"/>
    <w:rsid w:val="1C1965EC"/>
    <w:rsid w:val="1C7701B9"/>
    <w:rsid w:val="1CEA3F89"/>
    <w:rsid w:val="1CF73295"/>
    <w:rsid w:val="1D451326"/>
    <w:rsid w:val="1D5F4748"/>
    <w:rsid w:val="1D99665F"/>
    <w:rsid w:val="1E36406C"/>
    <w:rsid w:val="1E621D9B"/>
    <w:rsid w:val="1E9448CB"/>
    <w:rsid w:val="1E945AB3"/>
    <w:rsid w:val="1EFB5835"/>
    <w:rsid w:val="1F8A1433"/>
    <w:rsid w:val="1FD94E57"/>
    <w:rsid w:val="205247F6"/>
    <w:rsid w:val="206501BF"/>
    <w:rsid w:val="20C21B5F"/>
    <w:rsid w:val="20D8491F"/>
    <w:rsid w:val="2163103A"/>
    <w:rsid w:val="217D79B3"/>
    <w:rsid w:val="219B3B1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5728B"/>
    <w:rsid w:val="27417BF8"/>
    <w:rsid w:val="27693B45"/>
    <w:rsid w:val="27C43BF5"/>
    <w:rsid w:val="283A129B"/>
    <w:rsid w:val="28FE78EF"/>
    <w:rsid w:val="29672817"/>
    <w:rsid w:val="29954B63"/>
    <w:rsid w:val="29A41943"/>
    <w:rsid w:val="29B831E7"/>
    <w:rsid w:val="29DF16A7"/>
    <w:rsid w:val="29F74F67"/>
    <w:rsid w:val="2A484907"/>
    <w:rsid w:val="2B755902"/>
    <w:rsid w:val="2BA81833"/>
    <w:rsid w:val="2BAC3F70"/>
    <w:rsid w:val="2BB02AB9"/>
    <w:rsid w:val="2C56166B"/>
    <w:rsid w:val="2C772798"/>
    <w:rsid w:val="2CE33635"/>
    <w:rsid w:val="2D1E6388"/>
    <w:rsid w:val="2D391980"/>
    <w:rsid w:val="2D7C6F9A"/>
    <w:rsid w:val="2ED263DE"/>
    <w:rsid w:val="2F312BD6"/>
    <w:rsid w:val="2F4F315F"/>
    <w:rsid w:val="2F5260FE"/>
    <w:rsid w:val="2F78760A"/>
    <w:rsid w:val="30780EC9"/>
    <w:rsid w:val="313F6688"/>
    <w:rsid w:val="31651329"/>
    <w:rsid w:val="31C46552"/>
    <w:rsid w:val="31EC7268"/>
    <w:rsid w:val="32691E0F"/>
    <w:rsid w:val="32A0783A"/>
    <w:rsid w:val="33722AF4"/>
    <w:rsid w:val="339F6CDD"/>
    <w:rsid w:val="344952F9"/>
    <w:rsid w:val="34F20284"/>
    <w:rsid w:val="35CF5188"/>
    <w:rsid w:val="35FF17F8"/>
    <w:rsid w:val="3619346A"/>
    <w:rsid w:val="366152C5"/>
    <w:rsid w:val="36F6769D"/>
    <w:rsid w:val="37DD34EA"/>
    <w:rsid w:val="3859649B"/>
    <w:rsid w:val="386D2696"/>
    <w:rsid w:val="38CA384A"/>
    <w:rsid w:val="39227B1B"/>
    <w:rsid w:val="39406911"/>
    <w:rsid w:val="39850296"/>
    <w:rsid w:val="39C26750"/>
    <w:rsid w:val="39C37324"/>
    <w:rsid w:val="3A7F1D43"/>
    <w:rsid w:val="3A8D223E"/>
    <w:rsid w:val="3B291386"/>
    <w:rsid w:val="3B563038"/>
    <w:rsid w:val="3B7A306D"/>
    <w:rsid w:val="3B80307E"/>
    <w:rsid w:val="3BCA7BD7"/>
    <w:rsid w:val="3C6C37E2"/>
    <w:rsid w:val="3C7D1C3F"/>
    <w:rsid w:val="3CEA3E5A"/>
    <w:rsid w:val="3CFD6A0C"/>
    <w:rsid w:val="3DDA1E4D"/>
    <w:rsid w:val="400943B7"/>
    <w:rsid w:val="40143523"/>
    <w:rsid w:val="406B2735"/>
    <w:rsid w:val="413A62C6"/>
    <w:rsid w:val="4171469C"/>
    <w:rsid w:val="42C454C8"/>
    <w:rsid w:val="43482ADF"/>
    <w:rsid w:val="43497E11"/>
    <w:rsid w:val="438C52D1"/>
    <w:rsid w:val="43AF1DC7"/>
    <w:rsid w:val="442360D8"/>
    <w:rsid w:val="4451797B"/>
    <w:rsid w:val="450B3104"/>
    <w:rsid w:val="45374F70"/>
    <w:rsid w:val="45A32D85"/>
    <w:rsid w:val="45E922E2"/>
    <w:rsid w:val="46181B9F"/>
    <w:rsid w:val="46B73DB3"/>
    <w:rsid w:val="46B85A12"/>
    <w:rsid w:val="46C20ABF"/>
    <w:rsid w:val="471C5409"/>
    <w:rsid w:val="475E76EE"/>
    <w:rsid w:val="47B54AE2"/>
    <w:rsid w:val="47DF74CF"/>
    <w:rsid w:val="480702B8"/>
    <w:rsid w:val="484652C3"/>
    <w:rsid w:val="489E735B"/>
    <w:rsid w:val="48EF215B"/>
    <w:rsid w:val="49547ADE"/>
    <w:rsid w:val="499358EA"/>
    <w:rsid w:val="499D2CAA"/>
    <w:rsid w:val="49A70025"/>
    <w:rsid w:val="4A9518DB"/>
    <w:rsid w:val="4AB935E6"/>
    <w:rsid w:val="4B1F601E"/>
    <w:rsid w:val="4B65339C"/>
    <w:rsid w:val="4BE2220E"/>
    <w:rsid w:val="4CBF2857"/>
    <w:rsid w:val="4CF82AE4"/>
    <w:rsid w:val="4D097364"/>
    <w:rsid w:val="4D667BB3"/>
    <w:rsid w:val="4D7808AB"/>
    <w:rsid w:val="4DC87963"/>
    <w:rsid w:val="4E0626FD"/>
    <w:rsid w:val="4E7906E4"/>
    <w:rsid w:val="4EA45B39"/>
    <w:rsid w:val="4EED2017"/>
    <w:rsid w:val="4F253EC4"/>
    <w:rsid w:val="4F2E2211"/>
    <w:rsid w:val="4F4E78CD"/>
    <w:rsid w:val="4FA62E1E"/>
    <w:rsid w:val="4FAC0AB2"/>
    <w:rsid w:val="4FC809F8"/>
    <w:rsid w:val="4FE85961"/>
    <w:rsid w:val="50072C4D"/>
    <w:rsid w:val="50341189"/>
    <w:rsid w:val="503A5041"/>
    <w:rsid w:val="50837233"/>
    <w:rsid w:val="50A60CEF"/>
    <w:rsid w:val="514C5668"/>
    <w:rsid w:val="51513799"/>
    <w:rsid w:val="518C29B6"/>
    <w:rsid w:val="52170DB7"/>
    <w:rsid w:val="52685E22"/>
    <w:rsid w:val="52AA23A8"/>
    <w:rsid w:val="52B7187A"/>
    <w:rsid w:val="52BF3A93"/>
    <w:rsid w:val="53A5465B"/>
    <w:rsid w:val="53B6028C"/>
    <w:rsid w:val="54392B16"/>
    <w:rsid w:val="54442E65"/>
    <w:rsid w:val="545B2AA1"/>
    <w:rsid w:val="549B5701"/>
    <w:rsid w:val="54A9277D"/>
    <w:rsid w:val="54BE7D8D"/>
    <w:rsid w:val="55182E77"/>
    <w:rsid w:val="553F16B7"/>
    <w:rsid w:val="558856A9"/>
    <w:rsid w:val="55CA2A9E"/>
    <w:rsid w:val="55CA3B80"/>
    <w:rsid w:val="55E50F1B"/>
    <w:rsid w:val="565F6886"/>
    <w:rsid w:val="56BC237C"/>
    <w:rsid w:val="56CD4B4D"/>
    <w:rsid w:val="575C7815"/>
    <w:rsid w:val="577E733A"/>
    <w:rsid w:val="5798381B"/>
    <w:rsid w:val="57D4447A"/>
    <w:rsid w:val="57F759F2"/>
    <w:rsid w:val="585447AE"/>
    <w:rsid w:val="587167E6"/>
    <w:rsid w:val="58AF736D"/>
    <w:rsid w:val="58EC4DE1"/>
    <w:rsid w:val="596B72CE"/>
    <w:rsid w:val="59B3494A"/>
    <w:rsid w:val="59CA76DE"/>
    <w:rsid w:val="59EB1B1F"/>
    <w:rsid w:val="59EC6E24"/>
    <w:rsid w:val="5A0B2520"/>
    <w:rsid w:val="5A186813"/>
    <w:rsid w:val="5A3B2376"/>
    <w:rsid w:val="5A40591F"/>
    <w:rsid w:val="5A6F0692"/>
    <w:rsid w:val="5ABF2E42"/>
    <w:rsid w:val="5B586398"/>
    <w:rsid w:val="5B916903"/>
    <w:rsid w:val="5BEF472E"/>
    <w:rsid w:val="5C4206A1"/>
    <w:rsid w:val="5C932202"/>
    <w:rsid w:val="5CC87E6F"/>
    <w:rsid w:val="5CD918EA"/>
    <w:rsid w:val="5D247D3D"/>
    <w:rsid w:val="5DAE1AC9"/>
    <w:rsid w:val="5E047E40"/>
    <w:rsid w:val="5E153AF5"/>
    <w:rsid w:val="5F0E1E7F"/>
    <w:rsid w:val="5F112305"/>
    <w:rsid w:val="5F124AC2"/>
    <w:rsid w:val="5F2767B3"/>
    <w:rsid w:val="5FB14EE7"/>
    <w:rsid w:val="5FE31F70"/>
    <w:rsid w:val="60045498"/>
    <w:rsid w:val="610E523B"/>
    <w:rsid w:val="614C1844"/>
    <w:rsid w:val="617A6C2D"/>
    <w:rsid w:val="618968F0"/>
    <w:rsid w:val="619E6355"/>
    <w:rsid w:val="61BD64DA"/>
    <w:rsid w:val="6215384D"/>
    <w:rsid w:val="627460EE"/>
    <w:rsid w:val="62AB3235"/>
    <w:rsid w:val="62AC06BC"/>
    <w:rsid w:val="633B4987"/>
    <w:rsid w:val="63525D55"/>
    <w:rsid w:val="63DD766A"/>
    <w:rsid w:val="63E26184"/>
    <w:rsid w:val="63F321C7"/>
    <w:rsid w:val="64C20A08"/>
    <w:rsid w:val="64F06443"/>
    <w:rsid w:val="65737FB9"/>
    <w:rsid w:val="65DF5ECF"/>
    <w:rsid w:val="665768A4"/>
    <w:rsid w:val="665A45AE"/>
    <w:rsid w:val="66A662C4"/>
    <w:rsid w:val="66DE2D4E"/>
    <w:rsid w:val="67222B8A"/>
    <w:rsid w:val="679D182D"/>
    <w:rsid w:val="67BB6396"/>
    <w:rsid w:val="67FF57A9"/>
    <w:rsid w:val="680072DD"/>
    <w:rsid w:val="68070598"/>
    <w:rsid w:val="68794E30"/>
    <w:rsid w:val="687B5327"/>
    <w:rsid w:val="688621C1"/>
    <w:rsid w:val="68C15BDE"/>
    <w:rsid w:val="6AD23ACD"/>
    <w:rsid w:val="6AE706B2"/>
    <w:rsid w:val="6AE7235C"/>
    <w:rsid w:val="6B103823"/>
    <w:rsid w:val="6B315A81"/>
    <w:rsid w:val="6C3F4637"/>
    <w:rsid w:val="6C9D07C7"/>
    <w:rsid w:val="6CB426A8"/>
    <w:rsid w:val="6D3835CD"/>
    <w:rsid w:val="6D3E60A2"/>
    <w:rsid w:val="6D9B59D3"/>
    <w:rsid w:val="6DDF18A8"/>
    <w:rsid w:val="6E7742D5"/>
    <w:rsid w:val="6E947A29"/>
    <w:rsid w:val="6EFB1E55"/>
    <w:rsid w:val="6FB569AD"/>
    <w:rsid w:val="701E0D35"/>
    <w:rsid w:val="708C2BAE"/>
    <w:rsid w:val="717A54B6"/>
    <w:rsid w:val="71E47115"/>
    <w:rsid w:val="72124418"/>
    <w:rsid w:val="72BF52A3"/>
    <w:rsid w:val="73520170"/>
    <w:rsid w:val="73B32D5B"/>
    <w:rsid w:val="73D127FD"/>
    <w:rsid w:val="74906E74"/>
    <w:rsid w:val="74D2633E"/>
    <w:rsid w:val="75127B2A"/>
    <w:rsid w:val="754E2777"/>
    <w:rsid w:val="756B70AB"/>
    <w:rsid w:val="762D45E7"/>
    <w:rsid w:val="76432C97"/>
    <w:rsid w:val="76472E5B"/>
    <w:rsid w:val="76622032"/>
    <w:rsid w:val="76DA2B8D"/>
    <w:rsid w:val="773F1B2E"/>
    <w:rsid w:val="776141C0"/>
    <w:rsid w:val="778C7074"/>
    <w:rsid w:val="77E71EE7"/>
    <w:rsid w:val="78403651"/>
    <w:rsid w:val="784051C1"/>
    <w:rsid w:val="789E16E5"/>
    <w:rsid w:val="78DB40C6"/>
    <w:rsid w:val="7954401D"/>
    <w:rsid w:val="79547EF1"/>
    <w:rsid w:val="79A24C96"/>
    <w:rsid w:val="7AC02D1F"/>
    <w:rsid w:val="7AE80A7B"/>
    <w:rsid w:val="7AE861A8"/>
    <w:rsid w:val="7B452E9A"/>
    <w:rsid w:val="7B486C7F"/>
    <w:rsid w:val="7B5E14E4"/>
    <w:rsid w:val="7B741965"/>
    <w:rsid w:val="7BBF78B4"/>
    <w:rsid w:val="7BFE30BC"/>
    <w:rsid w:val="7C0A7BF1"/>
    <w:rsid w:val="7CC05A83"/>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w:basedOn w:val="1"/>
    <w:link w:val="9"/>
    <w:qFormat/>
    <w:uiPriority w:val="0"/>
    <w:rPr>
      <w:rFonts w:ascii="宋体" w:hAnsi="宋体" w:cs="Courier New"/>
      <w:sz w:val="32"/>
      <w:szCs w:val="32"/>
    </w:rPr>
  </w:style>
  <w:style w:type="character" w:styleId="11">
    <w:name w:val="Strong"/>
    <w:basedOn w:val="9"/>
    <w:qFormat/>
    <w:uiPriority w:val="0"/>
    <w:rPr>
      <w:b/>
      <w:bCs/>
    </w:rPr>
  </w:style>
  <w:style w:type="paragraph" w:customStyle="1" w:styleId="12">
    <w:name w:val="Char"/>
    <w:basedOn w:val="1"/>
    <w:link w:val="9"/>
    <w:qFormat/>
    <w:uiPriority w:val="0"/>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3</Pages>
  <Words>1038</Words>
  <Characters>1631</Characters>
  <Lines>13</Lines>
  <Paragraphs>5</Paragraphs>
  <TotalTime>3</TotalTime>
  <ScaleCrop>false</ScaleCrop>
  <LinksUpToDate>false</LinksUpToDate>
  <CharactersWithSpaces>2664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2023-03-30T07:11:54Z</dcterms:modified>
  <dc:title>关于2019年部门预算的批复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E7E435903E954F16B3A6550F30CE4D1E</vt:lpwstr>
  </property>
</Properties>
</file>