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fldChar w:fldCharType="begin"/>
      </w:r>
      <w:r>
        <w:rPr>
          <w:rFonts w:hint="eastAsia" w:ascii="方正小标宋简体" w:hAnsi="方正小标宋简体" w:eastAsia="方正小标宋简体" w:cs="方正小标宋简体"/>
          <w:bCs/>
          <w:spacing w:val="15"/>
          <w:sz w:val="44"/>
          <w:szCs w:val="44"/>
          <w:highlight w:val="none"/>
          <w:lang w:val="en-US" w:eastAsia="zh-CN"/>
        </w:rPr>
        <w:instrText xml:space="preserve">MERGEFIELD ${page855778723.ds388518707_V_RPT_BAS_AGENCY_INFO_NAME}</w:instrText>
      </w:r>
      <w:r>
        <w:rPr>
          <w:rFonts w:hint="eastAsia" w:ascii="方正小标宋简体" w:hAnsi="方正小标宋简体" w:eastAsia="方正小标宋简体" w:cs="方正小标宋简体"/>
          <w:bCs/>
          <w:spacing w:val="15"/>
          <w:sz w:val="44"/>
          <w:szCs w:val="44"/>
          <w:highlight w:val="none"/>
          <w:lang w:val="en-US" w:eastAsia="zh-CN"/>
        </w:rPr>
        <w:fldChar w:fldCharType="separate"/>
      </w:r>
      <w:r>
        <w:rPr>
          <w:rFonts w:hint="eastAsia" w:ascii="方正小标宋简体" w:hAnsi="方正小标宋简体" w:eastAsia="方正小标宋简体" w:cs="方正小标宋简体"/>
          <w:bCs/>
          <w:spacing w:val="15"/>
          <w:sz w:val="44"/>
          <w:szCs w:val="44"/>
          <w:highlight w:val="none"/>
          <w:lang w:val="en-US" w:eastAsia="zh-CN"/>
        </w:rPr>
        <w:t>丽水市莲都区人民法院审判保障服务中心</w:t>
      </w:r>
      <w:r>
        <w:fldChar w:fldCharType="end"/>
      </w:r>
      <w:r>
        <w:rPr>
          <w:rFonts w:hint="eastAsia" w:ascii="方正小标宋简体" w:hAnsi="方正小标宋简体" w:eastAsia="方正小标宋简体" w:cs="方正小标宋简体"/>
          <w:bCs/>
          <w:spacing w:val="15"/>
          <w:sz w:val="44"/>
          <w:szCs w:val="44"/>
          <w:highlight w:val="none"/>
          <w:lang w:val="en-US" w:eastAsia="zh-CN"/>
        </w:rPr>
        <w:t>2023</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11"/>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default" w:ascii="黑体" w:eastAsia="黑体"/>
          <w:b w:val="0"/>
          <w:color w:val="000000"/>
          <w:sz w:val="32"/>
          <w:szCs w:val="32"/>
          <w:highlight w:val="none"/>
          <w:lang w:val="en-US" w:eastAsia="zh-CN"/>
        </w:rPr>
      </w:pPr>
      <w:r>
        <w:rPr>
          <w:rStyle w:val="11"/>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highlight w:val="none"/>
          <w:lang w:eastAsia="zh-CN"/>
        </w:rPr>
        <w:t>单位</w:t>
      </w:r>
      <w:r>
        <w:rPr>
          <w:rStyle w:val="11"/>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bookmarkStart w:id="0" w:name="_GoBack"/>
      <w:bookmarkEnd w:id="0"/>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丽水市莲都区人民法院审判保障服务中心</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hAnsi="Calibri" w:eastAsia="黑体" w:cs="Times New Roman"/>
          <w:b w:val="0"/>
          <w:color w:val="000000"/>
          <w:kern w:val="2"/>
          <w:sz w:val="32"/>
          <w:szCs w:val="32"/>
          <w:highlight w:val="none"/>
          <w:lang w:val="en-US" w:eastAsia="zh-CN" w:bidi="ar-SA"/>
        </w:rPr>
      </w:pPr>
      <w:r>
        <w:rPr>
          <w:rStyle w:val="11"/>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丽水市莲都区人民法院审判保障服务中心</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（一）2023年单位收支预算总表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（二）2023年单位收入预算总表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（三）2023年单位支出预算总表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（四）2023年单位财政拨款收支预算总表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（五）2023年单位一般公共预算支出表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（六）2023年单位一般公共预算基本支出表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（七）2023年单位一般公共预算“三公”经费支出表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（八）2023年单位政府性基金预算支出表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（九）2023年单位国有资本经营预算支出表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（十）2023年单位项目支出预算表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tabs>
          <w:tab w:val="left" w:pos="2608"/>
        </w:tabs>
        <w:rPr>
          <w:rStyle w:val="11"/>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highlight w:val="none"/>
        </w:rPr>
      </w:pPr>
      <w:r>
        <w:rPr>
          <w:rStyle w:val="11"/>
          <w:rFonts w:hint="eastAsia" w:ascii="黑体" w:eastAsia="黑体"/>
          <w:b w:val="0"/>
          <w:color w:val="000000"/>
          <w:sz w:val="32"/>
          <w:szCs w:val="32"/>
          <w:highlight w:val="none"/>
        </w:rPr>
        <w:t>一、</w:t>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napToGrid w:val="0"/>
        <w:spacing w:line="540" w:lineRule="exact"/>
        <w:ind w:firstLine="640" w:firstLineChars="200"/>
        <w:rPr>
          <w:rFonts w:ascii="仿宋_GB2312" w:eastAsia="仿宋_GB2312"/>
          <w:bCs/>
          <w:sz w:val="32"/>
          <w:szCs w:val="32"/>
        </w:rPr>
      </w:pPr>
      <w:r>
        <w:rPr>
          <w:rFonts w:hint="eastAsia" w:ascii="仿宋_GB2312" w:eastAsia="仿宋_GB2312"/>
          <w:bCs/>
          <w:sz w:val="32"/>
          <w:szCs w:val="32"/>
        </w:rPr>
        <w:t>履行审判辅助职能，承担本院的文印、庭审速录、公务用车、计算机管理与维护、大楼物业、食堂管理等辅助性、事务性、服务性后勤工作。</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rPr>
        <w:t>机构设置情况</w:t>
      </w:r>
    </w:p>
    <w:p>
      <w:pPr>
        <w:pStyle w:val="6"/>
        <w:keepNext w:val="0"/>
        <w:keepLines w:val="0"/>
        <w:widowControl/>
        <w:suppressLineNumbers w:val="0"/>
        <w:spacing w:line="555" w:lineRule="atLeast"/>
        <w:ind w:left="0" w:firstLine="630"/>
        <w:rPr>
          <w:rFonts w:hint="eastAsia"/>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rPr>
        <w:fldChar w:fldCharType="begin"/>
      </w:r>
      <w:r>
        <w:rPr>
          <w:rFonts w:hint="eastAsia" w:ascii="仿宋_GB2312" w:eastAsia="仿宋_GB2312"/>
          <w:bCs/>
          <w:sz w:val="32"/>
          <w:szCs w:val="32"/>
          <w:highlight w:val="none"/>
        </w:rPr>
        <w:instrText xml:space="preserve">MERGEFIELD ${page855778723.ds388518707_V_RPT_BAS_AGENCY_INFO_NAME}</w:instrText>
      </w:r>
      <w:r>
        <w:rPr>
          <w:rFonts w:hint="eastAsia" w:ascii="仿宋_GB2312" w:eastAsia="仿宋_GB2312"/>
          <w:bCs/>
          <w:sz w:val="32"/>
          <w:szCs w:val="32"/>
          <w:highlight w:val="none"/>
        </w:rPr>
        <w:fldChar w:fldCharType="separate"/>
      </w:r>
      <w:r>
        <w:rPr>
          <w:rFonts w:hint="eastAsia" w:ascii="仿宋_GB2312" w:eastAsia="仿宋_GB2312"/>
          <w:bCs/>
          <w:sz w:val="32"/>
          <w:szCs w:val="32"/>
          <w:highlight w:val="none"/>
        </w:rPr>
        <w:t>丽水市莲都区人民法院审判保障服务中心</w:t>
      </w:r>
      <w:r>
        <w:fldChar w:fldCharType="end"/>
      </w:r>
      <w:r>
        <w:rPr>
          <w:rFonts w:hint="eastAsia" w:ascii="仿宋_GB2312" w:eastAsia="仿宋_GB2312"/>
          <w:bCs/>
          <w:sz w:val="32"/>
          <w:szCs w:val="32"/>
          <w:highlight w:val="none"/>
        </w:rPr>
        <w:t>预算包括：</w:t>
      </w:r>
      <w:r>
        <w:rPr>
          <w:rFonts w:hint="eastAsia" w:ascii="仿宋_GB2312" w:eastAsia="仿宋_GB2312"/>
          <w:bCs/>
          <w:sz w:val="32"/>
          <w:szCs w:val="32"/>
          <w:highlight w:val="none"/>
          <w:lang w:val="en-US" w:eastAsia="zh-CN"/>
        </w:rPr>
        <w:t>丽水市莲都区人民法院审判保障服务中心</w:t>
      </w:r>
      <w:r>
        <w:rPr>
          <w:rFonts w:hint="eastAsia" w:ascii="仿宋_GB2312" w:eastAsia="仿宋_GB2312"/>
          <w:bCs/>
          <w:sz w:val="32"/>
          <w:szCs w:val="32"/>
          <w:highlight w:val="none"/>
        </w:rPr>
        <w:t>单位预算</w:t>
      </w:r>
      <w:r>
        <w:rPr>
          <w:rFonts w:hint="eastAsia" w:ascii="仿宋_GB2312" w:eastAsia="仿宋_GB2312"/>
          <w:bCs/>
          <w:sz w:val="32"/>
          <w:szCs w:val="32"/>
          <w:highlight w:val="none"/>
          <w:lang w:eastAsia="zh-CN"/>
        </w:rPr>
        <w:t>，</w:t>
      </w:r>
      <w:r>
        <w:rPr>
          <w:rFonts w:hint="eastAsia" w:ascii="仿宋_GB2312" w:hAnsi="Times New Roman" w:eastAsia="仿宋_GB2312" w:cs="Times New Roman"/>
          <w:bCs/>
          <w:kern w:val="2"/>
          <w:sz w:val="32"/>
          <w:szCs w:val="32"/>
          <w:lang w:val="en-US" w:eastAsia="zh-CN" w:bidi="ar-SA"/>
        </w:rPr>
        <w:t>在职人员共计19人，退休1人。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11"/>
          <w:rFonts w:hint="eastAsia" w:ascii="黑体" w:eastAsia="黑体"/>
          <w:b w:val="0"/>
          <w:color w:val="000000"/>
          <w:sz w:val="32"/>
          <w:szCs w:val="32"/>
          <w:highlight w:val="none"/>
          <w:lang w:val="en-US" w:eastAsia="zh-CN"/>
        </w:rPr>
        <w:t xml:space="preserve">    </w:t>
      </w: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2023</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rPr>
        <w:fldChar w:fldCharType="begin"/>
      </w:r>
      <w:r>
        <w:rPr>
          <w:rStyle w:val="11"/>
          <w:rFonts w:hint="eastAsia" w:ascii="黑体" w:eastAsia="黑体"/>
          <w:b w:val="0"/>
          <w:color w:val="000000"/>
          <w:sz w:val="32"/>
          <w:szCs w:val="32"/>
          <w:highlight w:val="none"/>
        </w:rPr>
        <w:instrText xml:space="preserve">MERGEFIELD ${page855778723.ds388518707_V_RPT_BAS_AGENCY_INFO_NAME}</w:instrText>
      </w:r>
      <w:r>
        <w:rPr>
          <w:rStyle w:val="11"/>
          <w:rFonts w:hint="eastAsia" w:ascii="黑体" w:eastAsia="黑体"/>
          <w:b w:val="0"/>
          <w:color w:val="000000"/>
          <w:sz w:val="32"/>
          <w:szCs w:val="32"/>
          <w:highlight w:val="none"/>
        </w:rPr>
        <w:fldChar w:fldCharType="separate"/>
      </w:r>
      <w:r>
        <w:rPr>
          <w:rStyle w:val="11"/>
          <w:rFonts w:hint="eastAsia" w:ascii="黑体" w:eastAsia="黑体"/>
          <w:b w:val="0"/>
          <w:color w:val="000000"/>
          <w:sz w:val="32"/>
          <w:szCs w:val="32"/>
          <w:highlight w:val="none"/>
        </w:rPr>
        <w:t>丽水市莲都区人民法院审判保障服务中心</w:t>
      </w:r>
      <w:r>
        <w:fldChar w:fldCharType="end"/>
      </w:r>
      <w:r>
        <w:rPr>
          <w:rStyle w:val="11"/>
          <w:rFonts w:hint="eastAsia" w:ascii="黑体" w:eastAsia="黑体"/>
          <w:b w:val="0"/>
          <w:color w:val="000000"/>
          <w:sz w:val="32"/>
          <w:szCs w:val="32"/>
          <w:highlight w:val="none"/>
          <w:lang w:val="en-US" w:eastAsia="zh-CN"/>
        </w:rPr>
        <w:t>单位</w:t>
      </w:r>
      <w:r>
        <w:rPr>
          <w:rStyle w:val="11"/>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楷体_GB2312" w:hAnsi="楷体_GB2312" w:eastAsia="楷体_GB2312" w:cs="楷体_GB2312"/>
          <w:b w:val="0"/>
          <w:bCs w:val="0"/>
          <w:color w:val="000000"/>
          <w:sz w:val="32"/>
          <w:szCs w:val="32"/>
          <w:highlight w:val="none"/>
          <w:lang w:eastAsia="zh-CN"/>
        </w:rPr>
        <w:fldChar w:fldCharType="begin"/>
      </w:r>
      <w:r>
        <w:rPr>
          <w:rFonts w:hint="eastAsia" w:ascii="楷体_GB2312" w:hAnsi="楷体_GB2312" w:eastAsia="楷体_GB2312" w:cs="楷体_GB2312"/>
          <w:b w:val="0"/>
          <w:bCs w:val="0"/>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val="0"/>
          <w:color w:val="000000"/>
          <w:sz w:val="32"/>
          <w:szCs w:val="32"/>
          <w:highlight w:val="none"/>
          <w:lang w:eastAsia="zh-CN"/>
        </w:rPr>
        <w:fldChar w:fldCharType="separate"/>
      </w:r>
      <w:r>
        <w:rPr>
          <w:rFonts w:hint="eastAsia" w:ascii="楷体_GB2312" w:hAnsi="楷体_GB2312" w:eastAsia="楷体_GB2312" w:cs="楷体_GB2312"/>
          <w:b w:val="0"/>
          <w:bCs w:val="0"/>
          <w:color w:val="000000"/>
          <w:sz w:val="32"/>
          <w:szCs w:val="32"/>
          <w:highlight w:val="none"/>
          <w:lang w:eastAsia="zh-CN"/>
        </w:rPr>
        <w:t>丽水市莲都区人民法院审判保障服务中心</w:t>
      </w:r>
      <w:r>
        <w:fldChar w:fldCharType="end"/>
      </w:r>
      <w:r>
        <w:rPr>
          <w:rStyle w:val="11"/>
          <w:rFonts w:hint="eastAsia" w:ascii="楷体_GB2312" w:hAnsi="楷体_GB2312" w:eastAsia="楷体_GB2312" w:cs="楷体_GB2312"/>
          <w:b w:val="0"/>
          <w:bCs w:val="0"/>
          <w:color w:val="000000"/>
          <w:sz w:val="32"/>
          <w:szCs w:val="32"/>
          <w:highlight w:val="none"/>
          <w:lang w:val="en-US" w:eastAsia="zh-CN"/>
        </w:rPr>
        <w:t>2023</w:t>
      </w:r>
      <w:r>
        <w:rPr>
          <w:rStyle w:val="11"/>
          <w:rFonts w:hint="eastAsia" w:ascii="楷体_GB2312" w:hAnsi="楷体_GB2312" w:eastAsia="楷体_GB2312" w:cs="楷体_GB2312"/>
          <w:b w:val="0"/>
          <w:bCs w:val="0"/>
          <w:color w:val="000000"/>
          <w:sz w:val="32"/>
          <w:szCs w:val="32"/>
          <w:highlight w:val="none"/>
        </w:rPr>
        <w:t>年</w:t>
      </w:r>
      <w:r>
        <w:rPr>
          <w:rStyle w:val="11"/>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w:t>
      </w:r>
      <w:r>
        <w:rPr>
          <w:rFonts w:hint="eastAsia" w:ascii="仿宋_GB2312" w:eastAsia="仿宋_GB2312"/>
          <w:bCs/>
          <w:sz w:val="32"/>
          <w:szCs w:val="32"/>
        </w:rPr>
        <w:t>按照综合预算的原则，莲都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bCs/>
          <w:sz w:val="32"/>
          <w:szCs w:val="32"/>
        </w:rPr>
        <w:t>所有收入和支出均纳入</w:t>
      </w:r>
      <w:r>
        <w:rPr>
          <w:rFonts w:hint="eastAsia" w:ascii="仿宋_GB2312" w:eastAsia="仿宋_GB2312"/>
          <w:bCs/>
          <w:sz w:val="32"/>
          <w:szCs w:val="32"/>
          <w:lang w:eastAsia="zh-CN"/>
        </w:rPr>
        <w:t>单位</w:t>
      </w:r>
      <w:r>
        <w:rPr>
          <w:rFonts w:hint="eastAsia" w:ascii="仿宋_GB2312" w:eastAsia="仿宋_GB2312"/>
          <w:bCs/>
          <w:sz w:val="32"/>
          <w:szCs w:val="32"/>
        </w:rPr>
        <w:t>预算管理。收入包括：一般公共预算拨款收入；支出包括：公共安全支出、社会保障和就业支出、卫生健康支出、住房保障支出。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丽水市莲都区人民法院审判保障服务中心</w:t>
      </w:r>
      <w:r>
        <w:fldChar w:fldCharType="end"/>
      </w:r>
      <w:r>
        <w:rPr>
          <w:rFonts w:hint="eastAsia" w:ascii="仿宋_GB2312" w:eastAsia="仿宋_GB2312"/>
          <w:color w:val="000000"/>
          <w:sz w:val="32"/>
          <w:szCs w:val="32"/>
          <w:highlight w:val="none"/>
          <w:lang w:val="en-US" w:eastAsia="zh-CN"/>
        </w:rPr>
        <w:t>2023年收支总预算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${page855778723.ds388518707_V_REP_BGT_DEP_INCOME_DEP_BGT_REV}</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498.17</w:t>
      </w:r>
      <w:r>
        <w:fldChar w:fldCharType="end"/>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丽水市莲都区人民法院审判保障服务中心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${page855778723.ds388518707_V_REP_BGT_DEP_INCOME_DEP_BGT_REV}</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498.17</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7.73万元，下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1.53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auto"/>
          <w:sz w:val="32"/>
          <w:szCs w:val="32"/>
          <w:highlight w:val="none"/>
          <w:lang w:eastAsia="zh-CN"/>
        </w:rPr>
        <w:t>人员工资福利支出部分支出预算按预发，故相对减少</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${page928547437.ds208165674_V_RPT_BGT_SHOUZHI_AMTYBGGYSZJ1}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498.17</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上年结转</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${page296906908.ds669801938_V_RPT_BGT_T_HC1100002019_YISHANG_AMTYBGGYSZJ2}</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${page928547437.ds208165674_ComputeCol20220214184956}</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100.0</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丽水市莲都区人民法院审判保障服务中心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${page991221988.ds669801938_V_RPT_BGT_T_HC1100002019_YISHANG_AMTHJ}</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498.17</w:t>
      </w:r>
      <w:r>
        <w:rPr>
          <w:highlight w:val="none"/>
        </w:rP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7.73万元，下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1.53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auto"/>
          <w:sz w:val="32"/>
          <w:szCs w:val="32"/>
          <w:highlight w:val="none"/>
          <w:lang w:eastAsia="zh-CN"/>
        </w:rPr>
        <w:t>人员工资福利支出部分支出预算按预发，故相对减少</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${page991221988.ds669801938_ExpandCol9577948874}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387.75</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${page991221988.ds669801938_ExpandCol1793838688}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41.78</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${page991221988.ds669801938_ExpandCol61236023910}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26.82</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${page991221988.ds669801938_ExpandCol98040662420}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41.83</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${page991221988.ds669801938_ComputeCol20230210141630}</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459.47</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${page991221988.ds669801938_ComputeCol20230206164142}</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92.2</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${page991221988.ds669801938_ComputeCol20230210141705}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38.70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${page991221988.ds669801938_ComputeCol20230206164304}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7.8</w:t>
      </w:r>
      <w:r>
        <w:fldChar w:fldCharType="end"/>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${page855778723.ds388518707_V_REP_BGT_DEP_INCOME_JZXN}</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0.00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丽水市莲都区人民法院审判保障服务中心</w:t>
      </w:r>
      <w:r>
        <w:fldChar w:fldCharType="end"/>
      </w:r>
      <w:r>
        <w:rPr>
          <w:rFonts w:hint="eastAsia" w:ascii="仿宋_GB2312" w:eastAsia="仿宋_GB2312"/>
          <w:color w:val="000000"/>
          <w:sz w:val="32"/>
          <w:szCs w:val="32"/>
          <w:highlight w:val="none"/>
          <w:lang w:val="en-US" w:eastAsia="zh-CN"/>
        </w:rPr>
        <w:t>2023年财政拨款收支总预算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${page296906908.ds669801938_ComputeCol20220210154818}</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498.17</w:t>
      </w:r>
      <w:r>
        <w:fldChar w:fldCharType="end"/>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498.17</w:t>
      </w:r>
      <w:r>
        <w:fldChar w:fldCharType="end"/>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${page296906908.ds669801938_ComputeCol20220210162530}</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387.75</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${page296906908.ds669801938_ComputeCol20220210163509}</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41.78</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${page296906908.ds669801938_ComputeCol20220210163636}</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26.82</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${page296906908.ds669801938_ComputeCol20220210170411}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41.83</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丽水市莲都区人民法院审判保障服务中心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2023年一般公共预算拨款</w:t>
      </w:r>
      <w:r>
        <w:rPr>
          <w:rFonts w:hint="eastAsia" w:ascii="仿宋_GB2312" w:hAnsi="仿宋_GB2312" w:eastAsia="仿宋_GB2312" w:cs="仿宋_GB2312"/>
          <w:b w:val="0"/>
          <w:bCs/>
          <w:color w:val="000000"/>
          <w:sz w:val="32"/>
          <w:szCs w:val="32"/>
          <w:highlight w:val="none"/>
        </w:rPr>
        <w:fldChar w:fldCharType="begin"/>
      </w:r>
      <w:r>
        <w:rPr>
          <w:rFonts w:hint="eastAsia" w:ascii="仿宋_GB2312" w:hAnsi="仿宋_GB2312" w:eastAsia="仿宋_GB2312" w:cs="仿宋_GB2312"/>
          <w:b w:val="0"/>
          <w:bCs/>
          <w:color w:val="000000"/>
          <w:sz w:val="32"/>
          <w:szCs w:val="32"/>
          <w:highlight w:val="none"/>
        </w:rPr>
        <w:instrText xml:space="preserve">MERGEFIELD ${page296906908.ds669801938_V_RPT_BGT_T_HC1100002019_YISHANG_AMTYBGGYSZJ}</w:instrText>
      </w:r>
      <w:r>
        <w:rPr>
          <w:rFonts w:hint="eastAsia" w:ascii="仿宋_GB2312" w:hAnsi="仿宋_GB2312" w:eastAsia="仿宋_GB2312" w:cs="仿宋_GB2312"/>
          <w:b w:val="0"/>
          <w:bCs/>
          <w:color w:val="000000"/>
          <w:sz w:val="32"/>
          <w:szCs w:val="32"/>
          <w:highlight w:val="none"/>
        </w:rPr>
        <w:fldChar w:fldCharType="separate"/>
      </w:r>
      <w:r>
        <w:rPr>
          <w:rFonts w:hint="eastAsia" w:ascii="仿宋_GB2312" w:hAnsi="仿宋_GB2312" w:eastAsia="仿宋_GB2312" w:cs="仿宋_GB2312"/>
          <w:b w:val="0"/>
          <w:bCs/>
          <w:color w:val="000000"/>
          <w:sz w:val="32"/>
          <w:szCs w:val="32"/>
          <w:highlight w:val="none"/>
        </w:rPr>
        <w:t>498.17</w:t>
      </w:r>
      <w:r>
        <w:rPr>
          <w:highlight w:val="none"/>
        </w:rPr>
        <w:fldChar w:fldCharType="end"/>
      </w:r>
      <w:r>
        <w:rPr>
          <w:rFonts w:hint="eastAsia" w:ascii="仿宋_GB2312" w:hAnsi="仿宋_GB2312" w:eastAsia="仿宋_GB2312" w:cs="仿宋_GB2312"/>
          <w:color w:val="000000"/>
          <w:sz w:val="32"/>
          <w:szCs w:val="32"/>
          <w:highlight w:val="none"/>
          <w:lang w:val="en-US" w:eastAsia="zh-CN"/>
        </w:rPr>
        <w:t>万元，比上年执行数减少7.73万元，下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1.53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auto"/>
          <w:sz w:val="32"/>
          <w:szCs w:val="32"/>
          <w:highlight w:val="none"/>
          <w:lang w:eastAsia="zh-CN"/>
        </w:rPr>
        <w:t>人员工资福利支出部分支出预算按预发，故相对减少</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公共安全（类）支出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${page296906908.ds669801938_ExpandCol8871749624}</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387.75</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${page296906908.ds669801938_ComputeCol20220211093219}</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77.8</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${page296906908.ds669801938_ExpandCol1262074998}</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41.78</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${page296906908.ds669801938_ComputeCol20220211095109}</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8.4</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；卫生健康（类）支出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${page296906908.ds669801938_ExpandCol16601952610}</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26.82</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${page296906908.ds669801938_ComputeCol20220211095459}</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5.4</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；住房保障（类）支出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${page296906908.ds669801938_ExpandCol28769847820}</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41.83</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${page296906908.ds669801938_ComputeCol20220211102657}</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8.4</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left="963" w:leftChars="0" w:right="0" w:rightChars="0" w:firstLine="0" w:firstLineChars="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一般公共预算拨款具体使用情况。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（1）公共安全支出（类）法院（款）事业运行（项）</w:t>
      </w:r>
      <w:r>
        <w:rPr>
          <w:rFonts w:hint="eastAsia" w:ascii="仿宋_GB2312" w:hAnsi="仿宋_GB2312" w:eastAsia="仿宋_GB2312" w:cs="仿宋_GB2312"/>
          <w:color w:val="000000"/>
          <w:sz w:val="32"/>
          <w:szCs w:val="32"/>
          <w:highlight w:val="none"/>
          <w:lang w:val="en-US" w:eastAsia="zh-CN"/>
        </w:rPr>
        <w:t>387.75</w:t>
      </w:r>
      <w:r>
        <w:rPr>
          <w:rFonts w:hint="eastAsia" w:ascii="仿宋_GB2312" w:hAnsi="仿宋_GB2312" w:eastAsia="仿宋_GB2312" w:cs="仿宋_GB2312"/>
          <w:color w:val="000000"/>
          <w:sz w:val="32"/>
          <w:szCs w:val="32"/>
          <w:highlight w:val="none"/>
          <w:lang w:eastAsia="zh-CN"/>
        </w:rPr>
        <w:t>万元，主要用于莲都区人民法院审判保障服务中心正常运行，完成日常工作任务所发生的人员支出及日常运行公用经费等基本支出。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26.57</w:t>
      </w:r>
      <w:r>
        <w:rPr>
          <w:rFonts w:hint="eastAsia" w:ascii="仿宋_GB2312" w:hAnsi="仿宋_GB2312" w:eastAsia="仿宋_GB2312" w:cs="仿宋_GB2312"/>
          <w:color w:val="000000"/>
          <w:sz w:val="32"/>
          <w:szCs w:val="32"/>
          <w:highlight w:val="none"/>
          <w:lang w:eastAsia="zh-CN"/>
        </w:rPr>
        <w:t>万元,主要用于莲都区人民法院审判保障服务中心缴纳的基本养老保险费支出。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13.29</w:t>
      </w:r>
      <w:r>
        <w:rPr>
          <w:rFonts w:hint="eastAsia" w:ascii="仿宋_GB2312" w:hAnsi="仿宋_GB2312" w:eastAsia="仿宋_GB2312" w:cs="仿宋_GB2312"/>
          <w:color w:val="000000"/>
          <w:sz w:val="32"/>
          <w:szCs w:val="32"/>
          <w:highlight w:val="none"/>
          <w:lang w:eastAsia="zh-CN"/>
        </w:rPr>
        <w:t>万元,主要用于莲都区人民法院审判保障服务中心实际缴纳职业年金支出。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1.92</w:t>
      </w:r>
      <w:r>
        <w:rPr>
          <w:rFonts w:hint="eastAsia" w:ascii="仿宋_GB2312" w:hAnsi="仿宋_GB2312" w:eastAsia="仿宋_GB2312" w:cs="仿宋_GB2312"/>
          <w:color w:val="000000"/>
          <w:sz w:val="32"/>
          <w:szCs w:val="32"/>
          <w:highlight w:val="none"/>
          <w:lang w:eastAsia="zh-CN"/>
        </w:rPr>
        <w:t>万元，主要用于莲都区人民法院审判保障服务中心退休人员综合生活补助及活动费支出。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）卫生健康支出（类）行政事业单位医疗（款）事业单位医疗（项）</w:t>
      </w:r>
      <w:r>
        <w:rPr>
          <w:rFonts w:hint="eastAsia" w:ascii="仿宋_GB2312" w:hAnsi="仿宋_GB2312" w:eastAsia="仿宋_GB2312" w:cs="仿宋_GB2312"/>
          <w:color w:val="000000"/>
          <w:sz w:val="32"/>
          <w:szCs w:val="32"/>
          <w:highlight w:val="none"/>
          <w:lang w:val="en-US" w:eastAsia="zh-CN"/>
        </w:rPr>
        <w:t>26.82</w:t>
      </w:r>
      <w:r>
        <w:rPr>
          <w:rFonts w:hint="eastAsia" w:ascii="仿宋_GB2312" w:hAnsi="仿宋_GB2312" w:eastAsia="仿宋_GB2312" w:cs="仿宋_GB2312"/>
          <w:color w:val="000000"/>
          <w:sz w:val="32"/>
          <w:szCs w:val="32"/>
          <w:highlight w:val="none"/>
          <w:lang w:eastAsia="zh-CN"/>
        </w:rPr>
        <w:t>万元。主要用于莲都区人民法院审判保障服务中心在职人员的医疗保险费支出。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41.83</w:t>
      </w:r>
      <w:r>
        <w:rPr>
          <w:rFonts w:hint="eastAsia" w:ascii="仿宋_GB2312" w:hAnsi="仿宋_GB2312" w:eastAsia="仿宋_GB2312" w:cs="仿宋_GB2312"/>
          <w:color w:val="000000"/>
          <w:sz w:val="32"/>
          <w:szCs w:val="32"/>
          <w:highlight w:val="none"/>
          <w:lang w:eastAsia="zh-CN"/>
        </w:rPr>
        <w:t>万元。主要用于莲都区人民法院审判保障服务中心为职工缴纳的住房公积金支出。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丽水市莲都区人民法院审判保障服务中心</w:t>
      </w:r>
      <w:r>
        <w:fldChar w:fldCharType="end"/>
      </w:r>
      <w:r>
        <w:rPr>
          <w:rFonts w:hint="eastAsia" w:ascii="仿宋_GB2312" w:eastAsia="仿宋_GB2312"/>
          <w:color w:val="000000"/>
          <w:sz w:val="32"/>
          <w:szCs w:val="32"/>
          <w:highlight w:val="none"/>
          <w:lang w:val="en-US" w:eastAsia="zh-CN"/>
        </w:rPr>
        <w:t>2023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${page296906908.ds669801938_ComputeCol20220217095658}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498.17</w:t>
      </w:r>
      <w:r>
        <w:fldChar w:fldCharType="end"/>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${page296906908.ds669801938_ExpandCol3479089931}</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459.47</w:t>
      </w:r>
      <w:r>
        <w:fldChar w:fldCharType="end"/>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万元，主要包括：基本工资、津贴补贴、奖金、绩效工资、机关事业单位基本养老保险缴费、职业年金缴费、职工基本医疗保险缴费、其他社会保障缴费、住房公积金、医疗费、其他工资福利支出。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${page296906908.ds669801938_ExpandCol3055937732}</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38.70</w:t>
      </w:r>
      <w:r>
        <w:fldChar w:fldCharType="end"/>
      </w:r>
      <w:r>
        <w:rPr>
          <w:rFonts w:hint="eastAsia" w:ascii="仿宋_GB2312" w:eastAsia="仿宋_GB2312" w:cs="Times New Roman"/>
          <w:b w:val="0"/>
          <w:color w:val="000000"/>
          <w:sz w:val="32"/>
          <w:szCs w:val="32"/>
          <w:highlight w:val="none"/>
          <w:lang w:val="en-US" w:eastAsia="zh-CN"/>
        </w:rPr>
        <w:t>万元，主要包括：办公费、差旅费、培训费、工会经费、福利费、公务用车运行维护费、其他商品和服务支出。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textAlignment w:val="auto"/>
        <w:outlineLvl w:val="9"/>
        <w:rPr>
          <w:rFonts w:hint="eastAsia"/>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丽水市莲都区人民法院审判保障服务中心</w:t>
      </w:r>
      <w:r>
        <w:fldChar w:fldCharType="end"/>
      </w:r>
      <w:r>
        <w:rPr>
          <w:rFonts w:hint="eastAsia" w:ascii="仿宋_GB2312" w:hAnsi="仿宋_GB2312" w:eastAsia="仿宋_GB2312" w:cs="仿宋_GB2312"/>
          <w:color w:val="000000"/>
          <w:sz w:val="32"/>
          <w:szCs w:val="32"/>
          <w:highlight w:val="none"/>
          <w:lang w:val="en-US" w:eastAsia="zh-CN"/>
        </w:rPr>
        <w:t>2023年没有使用政府性基金预算拨款安排的支出。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b/>
          <w:sz w:val="20"/>
          <w:highlight w:val="none"/>
          <w:lang w:val="en-US" w:eastAsia="zh-CN"/>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丽水市莲都区人民法院审判保障服务中心</w:t>
      </w:r>
      <w:r>
        <w:rPr>
          <w:highlight w:val="none"/>
        </w:rPr>
        <w:fldChar w:fldCharType="end"/>
      </w:r>
      <w:r>
        <w:rPr>
          <w:rFonts w:hint="eastAsia" w:ascii="仿宋_GB2312" w:hAnsi="仿宋_GB2312" w:eastAsia="仿宋_GB2312" w:cs="仿宋_GB2312"/>
          <w:color w:val="000000"/>
          <w:sz w:val="32"/>
          <w:szCs w:val="32"/>
          <w:highlight w:val="none"/>
          <w:lang w:val="en-US" w:eastAsia="zh-CN"/>
        </w:rPr>
        <w:t>2023年没有使用国有资本经营预算拨款安排的支出。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丽水市莲都区人民法院审判保障服务中心</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hAnsi="仿宋_GB2312" w:eastAsia="仿宋_GB2312"/>
          <w:sz w:val="32"/>
          <w:lang w:val="en-US" w:eastAsia="zh-CN"/>
        </w:rPr>
        <w:fldChar w:fldCharType="begin"/>
      </w:r>
      <w:r>
        <w:rPr>
          <w:rFonts w:hint="eastAsia" w:ascii="仿宋_GB2312" w:hAnsi="仿宋_GB2312" w:eastAsia="仿宋_GB2312"/>
          <w:sz w:val="32"/>
          <w:lang w:val="en-US" w:eastAsia="zh-CN"/>
        </w:rPr>
        <w:instrText xml:space="preserve">MERGEFIELD ${page855778723.ds388518707_V_RPT_BAS_AGENCY_INFO_NAME}</w:instrText>
      </w:r>
      <w:r>
        <w:rPr>
          <w:rFonts w:hint="eastAsia" w:ascii="仿宋_GB2312" w:hAnsi="仿宋_GB2312" w:eastAsia="仿宋_GB2312"/>
          <w:sz w:val="32"/>
          <w:lang w:val="en-US" w:eastAsia="zh-CN"/>
        </w:rPr>
        <w:fldChar w:fldCharType="separate"/>
      </w:r>
      <w:r>
        <w:rPr>
          <w:rFonts w:hint="eastAsia" w:ascii="仿宋_GB2312" w:hAnsi="仿宋_GB2312" w:eastAsia="仿宋_GB2312"/>
          <w:sz w:val="32"/>
          <w:lang w:val="en-US" w:eastAsia="zh-CN"/>
        </w:rPr>
        <w:t>丽水市莲都区人民法院审判保障服务中心</w:t>
      </w:r>
      <w:r>
        <w:fldChar w:fldCharType="end"/>
      </w:r>
      <w:r>
        <w:rPr>
          <w:rFonts w:hint="eastAsia" w:ascii="仿宋_GB2312" w:hAnsi="仿宋_GB2312" w:eastAsia="仿宋_GB2312"/>
          <w:sz w:val="32"/>
          <w:lang w:val="en-US" w:eastAsia="zh-CN"/>
        </w:rPr>
        <w:t>2023</w:t>
      </w:r>
      <w:r>
        <w:rPr>
          <w:rFonts w:hint="eastAsia" w:ascii="仿宋_GB2312" w:hAnsi="仿宋_GB2312" w:eastAsia="仿宋_GB2312"/>
          <w:sz w:val="32"/>
        </w:rPr>
        <w:t>年“三公”经费预算数为</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${page777094869.ds444739888_ComputeCol20220214105038}</w:instrText>
      </w:r>
      <w:r>
        <w:rPr>
          <w:rFonts w:hint="eastAsia" w:ascii="仿宋_GB2312" w:hAnsi="仿宋_GB2312" w:eastAsia="仿宋_GB2312"/>
          <w:sz w:val="32"/>
        </w:rPr>
        <w:fldChar w:fldCharType="separate"/>
      </w:r>
      <w:r>
        <w:rPr>
          <w:rFonts w:hint="eastAsia" w:ascii="仿宋_GB2312" w:hAnsi="仿宋_GB2312" w:eastAsia="仿宋_GB2312"/>
          <w:sz w:val="32"/>
        </w:rPr>
        <w:t>3.00</w:t>
      </w:r>
      <w:r>
        <w:fldChar w:fldCharType="end"/>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cs="Times New Roman"/>
          <w:kern w:val="2"/>
          <w:sz w:val="32"/>
          <w:szCs w:val="20"/>
          <w:shd w:val="clear" w:color="auto" w:fill="FFFFFF"/>
          <w:lang w:val="en-US" w:eastAsia="zh-CN" w:bidi="ar"/>
        </w:rPr>
        <w:t>与上年预算数持平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lang w:eastAsia="zh-CN"/>
        </w:rPr>
        <w:t>具体如下：</w:t>
      </w:r>
    </w:p>
    <w:p>
      <w:pPr>
        <w:snapToGrid w:val="0"/>
        <w:spacing w:line="54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MERGEFIELD ${page777094869.ds444739888_ExpandCol1230910081}</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lang w:eastAsia="zh-CN"/>
        </w:rPr>
        <w:t>0.00</w:t>
      </w:r>
      <w:r>
        <w:fldChar w:fldCharType="end"/>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val="en-US" w:eastAsia="zh-CN"/>
        </w:rPr>
        <w:t>预算</w:t>
      </w:r>
      <w:r>
        <w:rPr>
          <w:rFonts w:hint="eastAsia" w:ascii="仿宋_GB2312" w:hAnsi="仿宋_GB2312" w:eastAsia="仿宋_GB2312" w:cs="仿宋_GB2312"/>
          <w:sz w:val="32"/>
          <w:szCs w:val="32"/>
          <w:highlight w:val="none"/>
          <w:lang w:eastAsia="zh-CN"/>
        </w:rPr>
        <w:t>数持平</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预算单位人员公务出国（境）的国际旅费、</w:t>
      </w:r>
      <w:r>
        <w:rPr>
          <w:rFonts w:hint="eastAsia" w:ascii="仿宋_GB2312" w:hAnsi="仿宋_GB2312" w:eastAsia="仿宋_GB2312" w:cs="仿宋_GB2312"/>
          <w:sz w:val="32"/>
          <w:szCs w:val="32"/>
          <w:highlight w:val="none"/>
          <w:lang w:eastAsia="zh-CN"/>
        </w:rPr>
        <w:t>国外城市间交通费、</w:t>
      </w:r>
      <w:r>
        <w:rPr>
          <w:rFonts w:hint="eastAsia" w:ascii="仿宋_GB2312" w:hAnsi="仿宋_GB2312" w:eastAsia="仿宋_GB2312" w:cs="仿宋_GB2312"/>
          <w:sz w:val="32"/>
          <w:szCs w:val="32"/>
          <w:highlight w:val="none"/>
        </w:rPr>
        <w:t>住宿费、</w:t>
      </w:r>
      <w:r>
        <w:rPr>
          <w:rFonts w:hint="eastAsia" w:ascii="仿宋_GB2312" w:hAnsi="仿宋_GB2312" w:eastAsia="仿宋_GB2312" w:cs="仿宋_GB2312"/>
          <w:sz w:val="32"/>
          <w:szCs w:val="32"/>
          <w:highlight w:val="none"/>
          <w:lang w:eastAsia="zh-CN"/>
        </w:rPr>
        <w:t>伙食费、</w:t>
      </w:r>
      <w:r>
        <w:rPr>
          <w:rFonts w:hint="eastAsia" w:ascii="仿宋_GB2312" w:hAnsi="仿宋_GB2312" w:eastAsia="仿宋_GB2312" w:cs="仿宋_GB2312"/>
          <w:sz w:val="32"/>
          <w:szCs w:val="32"/>
          <w:highlight w:val="none"/>
        </w:rPr>
        <w:t>培训费、公杂费等支出。</w:t>
      </w:r>
      <w:r>
        <w:rPr>
          <w:rFonts w:hint="eastAsia" w:ascii="仿宋_GB2312" w:hAnsi="仿宋_GB2312" w:eastAsia="仿宋_GB2312" w:cs="仿宋_GB2312"/>
          <w:color w:val="auto"/>
          <w:sz w:val="32"/>
          <w:szCs w:val="32"/>
        </w:rPr>
        <w:t>持平的主要原因是本年未有人出国。</w:t>
      </w:r>
    </w:p>
    <w:p>
      <w:pPr>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2023年安排公务接待预算0万元，</w:t>
      </w:r>
      <w:r>
        <w:rPr>
          <w:rFonts w:hint="eastAsia" w:ascii="仿宋_GB2312" w:hAnsi="仿宋_GB2312" w:eastAsia="仿宋_GB2312" w:cs="仿宋_GB2312"/>
          <w:b w:val="0"/>
          <w:bCs w:val="0"/>
          <w:color w:val="auto"/>
          <w:sz w:val="32"/>
          <w:szCs w:val="32"/>
        </w:rPr>
        <w:t>与上年执行数持平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主要用于接待接待上级法院、省内外其他法院及其他部门来我院的办案、交流、考察等支出。持平的主要原因是</w:t>
      </w:r>
      <w:r>
        <w:rPr>
          <w:rFonts w:hint="eastAsia" w:ascii="仿宋_GB2312" w:hAnsi="仿宋_GB2312" w:eastAsia="仿宋_GB2312" w:cs="仿宋_GB2312"/>
          <w:b w:val="0"/>
          <w:bCs w:val="0"/>
          <w:color w:val="auto"/>
          <w:sz w:val="32"/>
          <w:szCs w:val="32"/>
          <w:lang w:val="en-US" w:eastAsia="zh-CN"/>
        </w:rPr>
        <w:t>招待费基本在区法院本级进行招待支出</w:t>
      </w:r>
      <w:r>
        <w:rPr>
          <w:rFonts w:hint="eastAsia" w:ascii="仿宋_GB2312" w:hAnsi="仿宋_GB2312" w:eastAsia="仿宋_GB2312" w:cs="仿宋_GB2312"/>
          <w:b w:val="0"/>
          <w:bCs w:val="0"/>
          <w:color w:val="auto"/>
          <w:sz w:val="32"/>
          <w:szCs w:val="32"/>
        </w:rPr>
        <w:t>。</w:t>
      </w:r>
    </w:p>
    <w:p>
      <w:pPr>
        <w:pStyle w:val="6"/>
        <w:keepNext w:val="0"/>
        <w:keepLines w:val="0"/>
        <w:widowControl/>
        <w:suppressLineNumbers w:val="0"/>
        <w:spacing w:line="555" w:lineRule="atLeast"/>
        <w:ind w:left="0" w:firstLine="645"/>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3.公务用车购置及运行维护费：2023年安排公务用车购置及运行维护费预算</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MERGEFIELD ${page777094869.ds444739888_ComputeCol20220214104917}</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3.00</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万元，较上年持平，持平主要原因是控制车辆支出。公务用车运行维护费支出3.00万元，主要用于公务用车燃料费、维修费、过桥过路费、保险费、等支出。</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 w:val="0"/>
          <w:bCs/>
          <w:sz w:val="32"/>
          <w:szCs w:val="32"/>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5"/>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1.政府采购情况。</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sz w:val="32"/>
          <w:szCs w:val="32"/>
          <w:highlight w:val="none"/>
          <w:u w:val="none"/>
          <w:lang w:eastAsia="zh-CN"/>
        </w:rPr>
      </w:pPr>
      <w:r>
        <w:rPr>
          <w:rFonts w:hint="eastAsia" w:ascii="仿宋_GB2312" w:eastAsia="仿宋_GB2312"/>
          <w:b w:val="0"/>
          <w:bCs/>
          <w:sz w:val="32"/>
          <w:szCs w:val="32"/>
          <w:highlight w:val="none"/>
          <w:u w:val="none"/>
          <w:lang w:val="en-US" w:eastAsia="zh-CN"/>
        </w:rPr>
        <w:t>2023年</w:t>
      </w:r>
      <w:r>
        <w:rPr>
          <w:rFonts w:hint="eastAsia" w:ascii="仿宋_GB2312" w:eastAsia="仿宋_GB2312"/>
          <w:b w:val="0"/>
          <w:bCs/>
          <w:sz w:val="32"/>
          <w:szCs w:val="32"/>
          <w:highlight w:val="none"/>
          <w:u w:val="none"/>
          <w:lang w:val="en-US" w:eastAsia="zh-CN"/>
        </w:rPr>
        <w:fldChar w:fldCharType="begin"/>
      </w:r>
      <w:r>
        <w:rPr>
          <w:rFonts w:hint="eastAsia" w:ascii="仿宋_GB2312" w:eastAsia="仿宋_GB2312"/>
          <w:b w:val="0"/>
          <w:bCs/>
          <w:sz w:val="32"/>
          <w:szCs w:val="32"/>
          <w:highlight w:val="none"/>
          <w:u w:val="none"/>
          <w:lang w:val="en-US" w:eastAsia="zh-CN"/>
        </w:rPr>
        <w:instrText xml:space="preserve">MERGEFIELD ${page855778723.ds388518707_V_RPT_BAS_AGENCY_INFO_NAME}</w:instrText>
      </w:r>
      <w:r>
        <w:rPr>
          <w:rFonts w:hint="eastAsia" w:ascii="仿宋_GB2312" w:eastAsia="仿宋_GB2312"/>
          <w:b w:val="0"/>
          <w:bCs/>
          <w:sz w:val="32"/>
          <w:szCs w:val="32"/>
          <w:highlight w:val="none"/>
          <w:u w:val="none"/>
          <w:lang w:val="en-US" w:eastAsia="zh-CN"/>
        </w:rPr>
        <w:fldChar w:fldCharType="separate"/>
      </w:r>
      <w:r>
        <w:rPr>
          <w:rFonts w:hint="eastAsia" w:ascii="仿宋_GB2312" w:eastAsia="仿宋_GB2312"/>
          <w:b w:val="0"/>
          <w:bCs/>
          <w:sz w:val="32"/>
          <w:szCs w:val="32"/>
          <w:highlight w:val="none"/>
          <w:u w:val="none"/>
          <w:lang w:val="en-US" w:eastAsia="zh-CN"/>
        </w:rPr>
        <w:t>丽水市莲都区人民法院审判保障服务中心</w:t>
      </w:r>
      <w:r>
        <w:rPr>
          <w:b w:val="0"/>
          <w:bCs/>
        </w:rPr>
        <w:fldChar w:fldCharType="end"/>
      </w:r>
      <w:r>
        <w:rPr>
          <w:rFonts w:hint="eastAsia" w:ascii="仿宋_GB2312" w:eastAsia="仿宋_GB2312"/>
          <w:b w:val="0"/>
          <w:bCs/>
          <w:color w:val="000000"/>
          <w:sz w:val="32"/>
          <w:szCs w:val="32"/>
          <w:highlight w:val="none"/>
          <w:lang w:eastAsia="zh-CN"/>
        </w:rPr>
        <w:t>各单位政府采购预算总额</w:t>
      </w:r>
      <w:r>
        <w:rPr>
          <w:rFonts w:hint="eastAsia" w:ascii="仿宋_GB2312" w:eastAsia="仿宋_GB2312"/>
          <w:b w:val="0"/>
          <w:bCs/>
          <w:color w:val="000000"/>
          <w:sz w:val="32"/>
          <w:szCs w:val="32"/>
          <w:highlight w:val="none"/>
          <w:lang w:eastAsia="zh-CN"/>
        </w:rPr>
        <w:fldChar w:fldCharType="begin"/>
      </w:r>
      <w:r>
        <w:rPr>
          <w:rFonts w:hint="eastAsia" w:ascii="仿宋_GB2312" w:eastAsia="仿宋_GB2312"/>
          <w:b w:val="0"/>
          <w:bCs/>
          <w:color w:val="000000"/>
          <w:sz w:val="32"/>
          <w:szCs w:val="32"/>
          <w:highlight w:val="none"/>
          <w:lang w:eastAsia="zh-CN"/>
        </w:rPr>
        <w:instrText xml:space="preserve">MERGEFIELD ${page991489089.ds360843206_ComputeCol20230208104056}</w:instrText>
      </w:r>
      <w:r>
        <w:rPr>
          <w:rFonts w:hint="eastAsia" w:ascii="仿宋_GB2312" w:eastAsia="仿宋_GB2312"/>
          <w:b w:val="0"/>
          <w:bCs/>
          <w:color w:val="000000"/>
          <w:sz w:val="32"/>
          <w:szCs w:val="32"/>
          <w:highlight w:val="none"/>
          <w:lang w:eastAsia="zh-CN"/>
        </w:rPr>
        <w:fldChar w:fldCharType="separate"/>
      </w:r>
      <w:r>
        <w:rPr>
          <w:rFonts w:hint="eastAsia" w:ascii="仿宋_GB2312" w:eastAsia="仿宋_GB2312"/>
          <w:b w:val="0"/>
          <w:bCs/>
          <w:color w:val="000000"/>
          <w:sz w:val="32"/>
          <w:szCs w:val="32"/>
          <w:highlight w:val="none"/>
          <w:lang w:eastAsia="zh-CN"/>
        </w:rPr>
        <w:t>0</w:t>
      </w:r>
      <w:r>
        <w:rPr>
          <w:b w:val="0"/>
          <w:bCs/>
        </w:rPr>
        <w:fldChar w:fldCharType="end"/>
      </w:r>
      <w:r>
        <w:rPr>
          <w:rFonts w:hint="eastAsia" w:ascii="仿宋_GB2312" w:eastAsia="仿宋_GB2312"/>
          <w:b w:val="0"/>
          <w:bCs/>
          <w:color w:val="000000"/>
          <w:sz w:val="32"/>
          <w:szCs w:val="32"/>
          <w:highlight w:val="none"/>
          <w:lang w:val="en-US" w:eastAsia="zh-CN"/>
        </w:rPr>
        <w:t>万元，其中：政府采购货物预算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${page991489089.ds360843206_ExpandCol7582381261}</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0.00</w:t>
      </w:r>
      <w:r>
        <w:rPr>
          <w:b w:val="0"/>
          <w:bCs/>
        </w:rPr>
        <w:fldChar w:fldCharType="end"/>
      </w:r>
      <w:r>
        <w:rPr>
          <w:rFonts w:hint="eastAsia" w:ascii="仿宋_GB2312" w:eastAsia="仿宋_GB2312"/>
          <w:b w:val="0"/>
          <w:bCs/>
          <w:color w:val="000000"/>
          <w:sz w:val="32"/>
          <w:szCs w:val="32"/>
          <w:highlight w:val="none"/>
          <w:lang w:val="en-US" w:eastAsia="zh-CN"/>
        </w:rPr>
        <w:t>万元、政府采购工程预算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${page991489089.ds360843206_ExpandCol3415079511}</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0.00</w:t>
      </w:r>
      <w:r>
        <w:rPr>
          <w:b w:val="0"/>
          <w:bCs/>
        </w:rPr>
        <w:fldChar w:fldCharType="end"/>
      </w:r>
      <w:r>
        <w:rPr>
          <w:rFonts w:hint="eastAsia" w:ascii="仿宋_GB2312" w:eastAsia="仿宋_GB2312"/>
          <w:b w:val="0"/>
          <w:bCs/>
          <w:color w:val="000000"/>
          <w:sz w:val="32"/>
          <w:szCs w:val="32"/>
          <w:highlight w:val="none"/>
          <w:lang w:val="en-US" w:eastAsia="zh-CN"/>
        </w:rPr>
        <w:t>万元、政府采购服务预算</w:t>
      </w:r>
      <w:r>
        <w:rPr>
          <w:rFonts w:hint="eastAsia" w:ascii="仿宋_GB2312" w:eastAsia="仿宋_GB2312"/>
          <w:b w:val="0"/>
          <w:bCs/>
          <w:color w:val="000000"/>
          <w:sz w:val="32"/>
          <w:szCs w:val="32"/>
          <w:highlight w:val="none"/>
          <w:lang w:val="en-US" w:eastAsia="zh-CN"/>
        </w:rPr>
        <w:fldChar w:fldCharType="begin"/>
      </w:r>
      <w:r>
        <w:rPr>
          <w:rFonts w:hint="eastAsia" w:ascii="仿宋_GB2312" w:eastAsia="仿宋_GB2312"/>
          <w:b w:val="0"/>
          <w:bCs/>
          <w:color w:val="000000"/>
          <w:sz w:val="32"/>
          <w:szCs w:val="32"/>
          <w:highlight w:val="none"/>
          <w:lang w:val="en-US" w:eastAsia="zh-CN"/>
        </w:rPr>
        <w:instrText xml:space="preserve">MERGEFIELD ${page991489089.ds360843206_ComputeCol20230207170923}</w:instrText>
      </w:r>
      <w:r>
        <w:rPr>
          <w:rFonts w:hint="eastAsia" w:ascii="仿宋_GB2312" w:eastAsia="仿宋_GB2312"/>
          <w:b w:val="0"/>
          <w:bCs/>
          <w:color w:val="000000"/>
          <w:sz w:val="32"/>
          <w:szCs w:val="32"/>
          <w:highlight w:val="none"/>
          <w:lang w:val="en-US" w:eastAsia="zh-CN"/>
        </w:rPr>
        <w:fldChar w:fldCharType="separate"/>
      </w:r>
      <w:r>
        <w:rPr>
          <w:rFonts w:hint="eastAsia" w:ascii="仿宋_GB2312" w:eastAsia="仿宋_GB2312"/>
          <w:b w:val="0"/>
          <w:bCs/>
          <w:color w:val="000000"/>
          <w:sz w:val="32"/>
          <w:szCs w:val="32"/>
          <w:highlight w:val="none"/>
          <w:lang w:val="en-US" w:eastAsia="zh-CN"/>
        </w:rPr>
        <w:t>0.00</w:t>
      </w:r>
      <w:r>
        <w:rPr>
          <w:b w:val="0"/>
          <w:bCs/>
        </w:rPr>
        <w:fldChar w:fldCharType="end"/>
      </w:r>
      <w:r>
        <w:rPr>
          <w:rFonts w:hint="eastAsia" w:ascii="仿宋_GB2312" w:eastAsia="仿宋_GB2312"/>
          <w:b w:val="0"/>
          <w:bCs/>
          <w:color w:val="000000"/>
          <w:sz w:val="32"/>
          <w:szCs w:val="32"/>
          <w:highlight w:val="none"/>
          <w:lang w:val="en-US" w:eastAsia="zh-CN"/>
        </w:rPr>
        <w:t>万元。</w:t>
      </w:r>
    </w:p>
    <w:p>
      <w:pPr>
        <w:pStyle w:val="15"/>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2.国有资产占有使用情况。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pacing w:val="6"/>
          <w:sz w:val="32"/>
          <w:szCs w:val="32"/>
          <w:highlight w:val="none"/>
          <w:u w:val="none"/>
          <w:lang w:val="en-US" w:eastAsia="zh-CN"/>
        </w:rPr>
        <w:t>截至2022年12月31日，丽水市莲都区人民法院审判保障服务中心</w:t>
      </w:r>
      <w:r>
        <w:rPr>
          <w:rFonts w:hint="eastAsia" w:ascii="仿宋_GB2312" w:hAnsi="仿宋_GB2312" w:eastAsia="仿宋_GB2312" w:cs="仿宋_GB2312"/>
          <w:b w:val="0"/>
          <w:bCs/>
          <w:color w:val="auto"/>
          <w:spacing w:val="6"/>
          <w:sz w:val="32"/>
          <w:szCs w:val="32"/>
          <w:highlight w:val="none"/>
          <w:lang w:eastAsia="zh-CN"/>
        </w:rPr>
        <w:t>共有车辆</w:t>
      </w:r>
      <w:r>
        <w:rPr>
          <w:rFonts w:hint="eastAsia" w:ascii="仿宋_GB2312" w:hAnsi="仿宋_GB2312" w:eastAsia="仿宋_GB2312" w:cs="仿宋_GB2312"/>
          <w:b w:val="0"/>
          <w:bCs/>
          <w:color w:val="auto"/>
          <w:sz w:val="32"/>
          <w:szCs w:val="32"/>
          <w:highlight w:val="none"/>
          <w:lang w:val="en-US" w:eastAsia="zh-CN"/>
        </w:rPr>
        <w:t xml:space="preserve">1辆，其中，领导用车0辆、机要通信用车及应急保障用车1辆、执法执勤用车0辆、特种专业技术用车0辆、老干部服务用车0辆、行政执法专用车0辆。单位价值50万元以上通用设备0台，单位价值100万元以上专用设备0台。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b w:val="0"/>
          <w:bCs/>
          <w:color w:val="auto"/>
          <w:sz w:val="32"/>
          <w:szCs w:val="32"/>
          <w:highlight w:val="none"/>
          <w:lang w:val="en-US" w:eastAsia="zh-CN"/>
        </w:rPr>
        <w:t>2023年部门预算安排购置车辆0辆，其中，领导用车0辆、机要通信用车及应急保障用车0辆、执法执勤用车0辆、特种专业技术用车0辆、老干部服务用车0辆、行政执法专用车0辆。2023年部门预算安排购置单位价值50万元以上通用设备0台，单位价值100万元以上专用设备0台。</w:t>
      </w:r>
    </w:p>
    <w:p>
      <w:pPr>
        <w:pStyle w:val="15"/>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val="0"/>
          <w:bCs/>
          <w:sz w:val="32"/>
          <w:szCs w:val="32"/>
          <w:highlight w:val="none"/>
          <w:u w:val="none"/>
          <w:lang w:val="en-US" w:eastAsia="zh-CN"/>
        </w:rPr>
      </w:pPr>
      <w:r>
        <w:rPr>
          <w:rFonts w:hint="eastAsia" w:ascii="仿宋_GB2312" w:eastAsia="仿宋_GB2312"/>
          <w:b w:val="0"/>
          <w:bCs/>
          <w:sz w:val="32"/>
          <w:szCs w:val="32"/>
          <w:highlight w:val="none"/>
          <w:u w:val="none"/>
          <w:lang w:val="en-US" w:eastAsia="zh-CN"/>
        </w:rPr>
        <w:t xml:space="preserve">    3.预算绩效情况说明。</w:t>
      </w:r>
    </w:p>
    <w:p>
      <w:pPr>
        <w:snapToGrid w:val="0"/>
        <w:spacing w:line="540" w:lineRule="exact"/>
        <w:ind w:firstLine="640" w:firstLineChars="200"/>
        <w:rPr>
          <w:rFonts w:hint="eastAsia" w:ascii="仿宋_GB2312" w:eastAsia="仿宋_GB2312"/>
          <w:bCs/>
          <w:sz w:val="32"/>
          <w:szCs w:val="32"/>
        </w:rPr>
      </w:pPr>
      <w:r>
        <w:rPr>
          <w:rFonts w:hint="eastAsia" w:ascii="仿宋_GB2312" w:hAnsi="仿宋_GB2312" w:eastAsia="仿宋_GB2312" w:cs="仿宋_GB2312"/>
          <w:b w:val="0"/>
          <w:bCs/>
          <w:color w:val="auto"/>
          <w:sz w:val="32"/>
          <w:szCs w:val="32"/>
        </w:rPr>
        <w:t>20</w:t>
      </w:r>
      <w:r>
        <w:rPr>
          <w:rFonts w:hint="eastAsia" w:ascii="仿宋_GB2312" w:hAnsi="仿宋_GB2312" w:eastAsia="仿宋_GB2312" w:cs="仿宋_GB2312"/>
          <w:b w:val="0"/>
          <w:bCs/>
          <w:color w:val="auto"/>
          <w:sz w:val="32"/>
          <w:szCs w:val="32"/>
          <w:lang w:val="en-US" w:eastAsia="zh-CN"/>
        </w:rPr>
        <w:t>23</w:t>
      </w:r>
      <w:r>
        <w:rPr>
          <w:rFonts w:hint="eastAsia" w:ascii="仿宋_GB2312" w:hAnsi="仿宋_GB2312" w:eastAsia="仿宋_GB2312" w:cs="仿宋_GB2312"/>
          <w:b w:val="0"/>
          <w:bCs/>
          <w:color w:val="auto"/>
          <w:sz w:val="32"/>
          <w:szCs w:val="32"/>
        </w:rPr>
        <w:t>年</w:t>
      </w:r>
      <w:r>
        <w:rPr>
          <w:rFonts w:hint="eastAsia" w:ascii="仿宋_GB2312" w:eastAsia="仿宋_GB2312"/>
          <w:b w:val="0"/>
          <w:bCs/>
          <w:sz w:val="32"/>
          <w:szCs w:val="32"/>
        </w:rPr>
        <w:t>莲都</w:t>
      </w:r>
      <w:r>
        <w:rPr>
          <w:rFonts w:hint="eastAsia" w:ascii="仿宋_GB2312" w:eastAsia="仿宋_GB2312"/>
          <w:b w:val="0"/>
          <w:bCs/>
          <w:sz w:val="32"/>
          <w:szCs w:val="32"/>
          <w:lang w:eastAsia="zh-CN"/>
        </w:rPr>
        <w:t>区</w:t>
      </w:r>
      <w:r>
        <w:rPr>
          <w:rFonts w:hint="eastAsia" w:ascii="仿宋_GB2312" w:eastAsia="仿宋_GB2312"/>
          <w:b w:val="0"/>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bCs/>
          <w:sz w:val="32"/>
          <w:szCs w:val="32"/>
        </w:rPr>
        <w:t>无其他运转类项目和特定目标类项目实行绩效目标管理，涉及一般公共预算当年拨款0万元</w:t>
      </w:r>
      <w:r>
        <w:rPr>
          <w:rFonts w:hint="eastAsia" w:ascii="仿宋_GB2312" w:eastAsia="仿宋_GB2312"/>
          <w:bCs/>
          <w:sz w:val="32"/>
          <w:szCs w:val="32"/>
          <w:lang w:eastAsia="zh-CN"/>
        </w:rPr>
        <w:t>，一级项目</w:t>
      </w:r>
      <w:r>
        <w:rPr>
          <w:rFonts w:hint="eastAsia" w:ascii="仿宋_GB2312" w:eastAsia="仿宋_GB2312"/>
          <w:bCs/>
          <w:sz w:val="32"/>
          <w:szCs w:val="32"/>
          <w:lang w:val="en-US" w:eastAsia="zh-CN"/>
        </w:rPr>
        <w:t>0个</w:t>
      </w:r>
      <w:r>
        <w:rPr>
          <w:rFonts w:hint="eastAsia" w:ascii="仿宋_GB2312" w:eastAsia="仿宋_GB2312"/>
          <w:bCs/>
          <w:sz w:val="32"/>
          <w:szCs w:val="32"/>
        </w:rPr>
        <w:t>。</w:t>
      </w:r>
    </w:p>
    <w:p>
      <w:pPr>
        <w:pStyle w:val="15"/>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政府性基金预算财政拨款和国有资本经营预算拨款。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.公共安全支出（类）法院（款）事业运行（项）：</w:t>
      </w:r>
      <w:r>
        <w:rPr>
          <w:rFonts w:hint="eastAsia" w:ascii="仿宋_GB2312" w:eastAsia="仿宋_GB2312"/>
          <w:b w:val="0"/>
          <w:bCs w:val="0"/>
          <w:sz w:val="32"/>
          <w:szCs w:val="32"/>
        </w:rPr>
        <w:t>指本院下属事业基本支出。</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（款）机关事业单位基本养老保险缴费支出（项）：</w:t>
      </w:r>
      <w:r>
        <w:rPr>
          <w:rFonts w:hint="eastAsia" w:ascii="仿宋_GB2312" w:eastAsia="仿宋_GB2312"/>
          <w:b w:val="0"/>
          <w:bCs w:val="0"/>
          <w:sz w:val="32"/>
          <w:szCs w:val="32"/>
        </w:rPr>
        <w:t>指单位缴纳的基本养老保险费支出</w:t>
      </w:r>
      <w:r>
        <w:rPr>
          <w:rFonts w:hint="eastAsia" w:ascii="仿宋_GB2312" w:eastAsia="仿宋_GB2312"/>
          <w:b w:val="0"/>
          <w:bCs w:val="0"/>
          <w:sz w:val="32"/>
          <w:szCs w:val="32"/>
          <w:lang w:eastAsia="zh-CN"/>
        </w:rPr>
        <w:t>。</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（款）机关事业单位职业年金缴费支出（项）：</w:t>
      </w:r>
      <w:r>
        <w:rPr>
          <w:rFonts w:hint="eastAsia" w:ascii="仿宋_GB2312" w:eastAsia="仿宋_GB2312"/>
          <w:b w:val="0"/>
          <w:bCs w:val="0"/>
          <w:sz w:val="32"/>
          <w:szCs w:val="32"/>
        </w:rPr>
        <w:t>指单位实际缴纳职业年金支出</w:t>
      </w:r>
      <w:r>
        <w:rPr>
          <w:rFonts w:hint="eastAsia" w:ascii="仿宋_GB2312" w:eastAsia="仿宋_GB2312"/>
          <w:b w:val="0"/>
          <w:bCs w:val="0"/>
          <w:sz w:val="32"/>
          <w:szCs w:val="32"/>
          <w:lang w:eastAsia="zh-CN"/>
        </w:rPr>
        <w:t>。</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（款）其他行政事业单位</w:t>
      </w:r>
      <w:r>
        <w:rPr>
          <w:rFonts w:hint="eastAsia" w:ascii="仿宋_GB2312" w:hAnsi="仿宋_GB2312" w:eastAsia="仿宋_GB2312" w:cs="仿宋_GB2312"/>
          <w:b w:val="0"/>
          <w:bCs w:val="0"/>
          <w:sz w:val="32"/>
          <w:szCs w:val="32"/>
          <w:lang w:eastAsia="zh-CN"/>
        </w:rPr>
        <w:t>养老</w:t>
      </w:r>
      <w:r>
        <w:rPr>
          <w:rFonts w:hint="eastAsia" w:ascii="仿宋_GB2312" w:hAnsi="仿宋_GB2312" w:eastAsia="仿宋_GB2312" w:cs="仿宋_GB2312"/>
          <w:b w:val="0"/>
          <w:bCs w:val="0"/>
          <w:sz w:val="32"/>
          <w:szCs w:val="32"/>
        </w:rPr>
        <w:t>支出（项）：</w:t>
      </w:r>
      <w:r>
        <w:rPr>
          <w:rFonts w:hint="eastAsia" w:ascii="仿宋_GB2312" w:eastAsia="仿宋_GB2312"/>
          <w:b w:val="0"/>
          <w:bCs w:val="0"/>
          <w:sz w:val="32"/>
          <w:szCs w:val="32"/>
        </w:rPr>
        <w:t>指单位用于离退休方面支出。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.卫生健康支出（类）行政事业单位医疗（款）事业单位医疗（项）：</w:t>
      </w:r>
      <w:r>
        <w:rPr>
          <w:rFonts w:hint="eastAsia" w:ascii="仿宋_GB2312" w:eastAsia="仿宋_GB2312"/>
          <w:b w:val="0"/>
          <w:bCs w:val="0"/>
          <w:sz w:val="32"/>
          <w:szCs w:val="32"/>
        </w:rPr>
        <w:t>指事业单位缴纳医疗保险费支出。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.住房保障支出（类）住房改革支出（款）住房公积金（项）：</w:t>
      </w:r>
      <w:r>
        <w:rPr>
          <w:rFonts w:hint="eastAsia" w:ascii="仿宋_GB2312" w:eastAsia="仿宋_GB2312"/>
          <w:b w:val="0"/>
          <w:bCs w:val="0"/>
          <w:sz w:val="32"/>
          <w:szCs w:val="32"/>
        </w:rPr>
        <w:t>指单位为职工缴纳的住房公积金支出。</w:t>
      </w:r>
    </w:p>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1B0"/>
    <w:multiLevelType w:val="singleLevel"/>
    <w:tmpl w:val="143861B0"/>
    <w:lvl w:ilvl="0" w:tentative="0">
      <w:start w:val="3"/>
      <w:numFmt w:val="decimal"/>
      <w:lvlText w:val="%1."/>
      <w:lvlJc w:val="left"/>
      <w:pPr>
        <w:tabs>
          <w:tab w:val="left" w:pos="312"/>
        </w:tabs>
        <w:ind w:left="963" w:leftChars="0" w:firstLine="0" w:firstLineChars="0"/>
      </w:pPr>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86842"/>
    <w:rsid w:val="00AB2741"/>
    <w:rsid w:val="00B109C2"/>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405C62"/>
    <w:rsid w:val="01F263DB"/>
    <w:rsid w:val="01F648EB"/>
    <w:rsid w:val="024C6702"/>
    <w:rsid w:val="0263156A"/>
    <w:rsid w:val="026505B4"/>
    <w:rsid w:val="028630A1"/>
    <w:rsid w:val="02FD4879"/>
    <w:rsid w:val="038C7FF1"/>
    <w:rsid w:val="03AA3E3B"/>
    <w:rsid w:val="03E04F01"/>
    <w:rsid w:val="03EA5C50"/>
    <w:rsid w:val="04600135"/>
    <w:rsid w:val="05054F3D"/>
    <w:rsid w:val="05F46152"/>
    <w:rsid w:val="05F835B0"/>
    <w:rsid w:val="06113422"/>
    <w:rsid w:val="063B27DE"/>
    <w:rsid w:val="065E25EC"/>
    <w:rsid w:val="06835E42"/>
    <w:rsid w:val="07487AC1"/>
    <w:rsid w:val="07623DA7"/>
    <w:rsid w:val="081119C7"/>
    <w:rsid w:val="08DE4DFD"/>
    <w:rsid w:val="0A1D1E06"/>
    <w:rsid w:val="0A4C7CCD"/>
    <w:rsid w:val="0B486D9D"/>
    <w:rsid w:val="0B4F52A1"/>
    <w:rsid w:val="0B652DFD"/>
    <w:rsid w:val="0BD448F3"/>
    <w:rsid w:val="0C7B7749"/>
    <w:rsid w:val="0CE2397A"/>
    <w:rsid w:val="0CEE5818"/>
    <w:rsid w:val="0DDF3EA9"/>
    <w:rsid w:val="0EC164F2"/>
    <w:rsid w:val="0F0A0BC6"/>
    <w:rsid w:val="0F216C64"/>
    <w:rsid w:val="0F3E23E2"/>
    <w:rsid w:val="0F5C4EB1"/>
    <w:rsid w:val="0F760C96"/>
    <w:rsid w:val="0F8B51E9"/>
    <w:rsid w:val="106B2554"/>
    <w:rsid w:val="1081539A"/>
    <w:rsid w:val="1085571C"/>
    <w:rsid w:val="12970A77"/>
    <w:rsid w:val="12D300E7"/>
    <w:rsid w:val="136B79EF"/>
    <w:rsid w:val="13811EEE"/>
    <w:rsid w:val="14861683"/>
    <w:rsid w:val="14887B46"/>
    <w:rsid w:val="14EF3497"/>
    <w:rsid w:val="153C45B3"/>
    <w:rsid w:val="157947AC"/>
    <w:rsid w:val="1588286F"/>
    <w:rsid w:val="15DB09EF"/>
    <w:rsid w:val="1650535C"/>
    <w:rsid w:val="16B75B8F"/>
    <w:rsid w:val="16FE1938"/>
    <w:rsid w:val="170C3948"/>
    <w:rsid w:val="17EC7FC1"/>
    <w:rsid w:val="17F81734"/>
    <w:rsid w:val="180061CB"/>
    <w:rsid w:val="18154C5A"/>
    <w:rsid w:val="18EF3804"/>
    <w:rsid w:val="195C3A7E"/>
    <w:rsid w:val="19781354"/>
    <w:rsid w:val="1A2375F0"/>
    <w:rsid w:val="1AC0275A"/>
    <w:rsid w:val="1AE500E3"/>
    <w:rsid w:val="1B1D1342"/>
    <w:rsid w:val="1B2A6629"/>
    <w:rsid w:val="1BBC2184"/>
    <w:rsid w:val="1C103D2D"/>
    <w:rsid w:val="1C1965EC"/>
    <w:rsid w:val="1C7701B9"/>
    <w:rsid w:val="1CEA3F89"/>
    <w:rsid w:val="1CF73295"/>
    <w:rsid w:val="1CFF37B8"/>
    <w:rsid w:val="1D451326"/>
    <w:rsid w:val="1D4E0067"/>
    <w:rsid w:val="1D5F4748"/>
    <w:rsid w:val="1D99665F"/>
    <w:rsid w:val="1E0609A3"/>
    <w:rsid w:val="1E621D9B"/>
    <w:rsid w:val="1E9448CB"/>
    <w:rsid w:val="1E945AB3"/>
    <w:rsid w:val="1EFB5835"/>
    <w:rsid w:val="1F8A1433"/>
    <w:rsid w:val="1FA8116C"/>
    <w:rsid w:val="1FD94E57"/>
    <w:rsid w:val="20120E8F"/>
    <w:rsid w:val="20273C42"/>
    <w:rsid w:val="205247F6"/>
    <w:rsid w:val="206501BF"/>
    <w:rsid w:val="20C21B5F"/>
    <w:rsid w:val="20D8491F"/>
    <w:rsid w:val="2163103A"/>
    <w:rsid w:val="217D79B3"/>
    <w:rsid w:val="219B3B12"/>
    <w:rsid w:val="21C45F53"/>
    <w:rsid w:val="21F8300E"/>
    <w:rsid w:val="224773D3"/>
    <w:rsid w:val="22D4227E"/>
    <w:rsid w:val="22FA27EC"/>
    <w:rsid w:val="2301771E"/>
    <w:rsid w:val="230477A4"/>
    <w:rsid w:val="234550B7"/>
    <w:rsid w:val="2384696C"/>
    <w:rsid w:val="23B968AE"/>
    <w:rsid w:val="240772FF"/>
    <w:rsid w:val="24183DF0"/>
    <w:rsid w:val="2465723D"/>
    <w:rsid w:val="247778DD"/>
    <w:rsid w:val="247A77A8"/>
    <w:rsid w:val="24D6630F"/>
    <w:rsid w:val="24F84929"/>
    <w:rsid w:val="252A0A7B"/>
    <w:rsid w:val="257B506C"/>
    <w:rsid w:val="25AF42DB"/>
    <w:rsid w:val="25B348BA"/>
    <w:rsid w:val="25DE1005"/>
    <w:rsid w:val="25FD2566"/>
    <w:rsid w:val="266C485D"/>
    <w:rsid w:val="26816946"/>
    <w:rsid w:val="26DB7398"/>
    <w:rsid w:val="2705728B"/>
    <w:rsid w:val="27417BF8"/>
    <w:rsid w:val="27693B45"/>
    <w:rsid w:val="280C58BA"/>
    <w:rsid w:val="283A129B"/>
    <w:rsid w:val="28FE78EF"/>
    <w:rsid w:val="29672817"/>
    <w:rsid w:val="29954B63"/>
    <w:rsid w:val="29A41943"/>
    <w:rsid w:val="29B831E7"/>
    <w:rsid w:val="29DF16A7"/>
    <w:rsid w:val="29F74F67"/>
    <w:rsid w:val="2A484907"/>
    <w:rsid w:val="2A8022B4"/>
    <w:rsid w:val="2B755902"/>
    <w:rsid w:val="2BA81833"/>
    <w:rsid w:val="2BAC3F70"/>
    <w:rsid w:val="2BB02AB9"/>
    <w:rsid w:val="2C0C69BD"/>
    <w:rsid w:val="2C56166B"/>
    <w:rsid w:val="2C772798"/>
    <w:rsid w:val="2CE33635"/>
    <w:rsid w:val="2D225AC3"/>
    <w:rsid w:val="2D391980"/>
    <w:rsid w:val="2D7C6F9A"/>
    <w:rsid w:val="2E7F77D8"/>
    <w:rsid w:val="2ED263DE"/>
    <w:rsid w:val="2F312BD6"/>
    <w:rsid w:val="2F4F315F"/>
    <w:rsid w:val="2F5260FE"/>
    <w:rsid w:val="2F78760A"/>
    <w:rsid w:val="2F7F7BE9"/>
    <w:rsid w:val="30780EC9"/>
    <w:rsid w:val="31651329"/>
    <w:rsid w:val="31C46552"/>
    <w:rsid w:val="31EC7268"/>
    <w:rsid w:val="32691E0F"/>
    <w:rsid w:val="32823C71"/>
    <w:rsid w:val="33722AF4"/>
    <w:rsid w:val="339F6CDD"/>
    <w:rsid w:val="344952F9"/>
    <w:rsid w:val="34F20284"/>
    <w:rsid w:val="360A5191"/>
    <w:rsid w:val="3619346A"/>
    <w:rsid w:val="366152C5"/>
    <w:rsid w:val="37CA3857"/>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3FB85546"/>
    <w:rsid w:val="400943B7"/>
    <w:rsid w:val="40143523"/>
    <w:rsid w:val="40457305"/>
    <w:rsid w:val="406B2735"/>
    <w:rsid w:val="4171469C"/>
    <w:rsid w:val="42C454C8"/>
    <w:rsid w:val="43482ADF"/>
    <w:rsid w:val="43497E11"/>
    <w:rsid w:val="438C52D1"/>
    <w:rsid w:val="43AF1DC7"/>
    <w:rsid w:val="4407688B"/>
    <w:rsid w:val="442360D8"/>
    <w:rsid w:val="44974CB7"/>
    <w:rsid w:val="450B3104"/>
    <w:rsid w:val="45374F70"/>
    <w:rsid w:val="45A32D85"/>
    <w:rsid w:val="45B11CC2"/>
    <w:rsid w:val="45BE16D2"/>
    <w:rsid w:val="45E922E2"/>
    <w:rsid w:val="46181B9F"/>
    <w:rsid w:val="46884AE5"/>
    <w:rsid w:val="46B73DB3"/>
    <w:rsid w:val="46B85A12"/>
    <w:rsid w:val="46C20ABF"/>
    <w:rsid w:val="471C5409"/>
    <w:rsid w:val="475E76EE"/>
    <w:rsid w:val="47B54AE2"/>
    <w:rsid w:val="480246F3"/>
    <w:rsid w:val="484652C3"/>
    <w:rsid w:val="489E735B"/>
    <w:rsid w:val="48EF215B"/>
    <w:rsid w:val="49547ADE"/>
    <w:rsid w:val="499358EA"/>
    <w:rsid w:val="49A70025"/>
    <w:rsid w:val="4A012AA4"/>
    <w:rsid w:val="4A9518DB"/>
    <w:rsid w:val="4AB935E6"/>
    <w:rsid w:val="4B1F601E"/>
    <w:rsid w:val="4B65339C"/>
    <w:rsid w:val="4BE2220E"/>
    <w:rsid w:val="4C7A69A2"/>
    <w:rsid w:val="4CBF2857"/>
    <w:rsid w:val="4CF82AE4"/>
    <w:rsid w:val="4D097364"/>
    <w:rsid w:val="4D667BB3"/>
    <w:rsid w:val="4D7808AB"/>
    <w:rsid w:val="4DC87963"/>
    <w:rsid w:val="4E0626FD"/>
    <w:rsid w:val="4E22137C"/>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9E6678"/>
    <w:rsid w:val="52AA23A8"/>
    <w:rsid w:val="52B7187A"/>
    <w:rsid w:val="52BF3A93"/>
    <w:rsid w:val="53A5465B"/>
    <w:rsid w:val="53B6028C"/>
    <w:rsid w:val="53B9327E"/>
    <w:rsid w:val="54392B16"/>
    <w:rsid w:val="54442E65"/>
    <w:rsid w:val="545B2AA1"/>
    <w:rsid w:val="549B5701"/>
    <w:rsid w:val="54A9277D"/>
    <w:rsid w:val="55182E77"/>
    <w:rsid w:val="553F16B7"/>
    <w:rsid w:val="558856A9"/>
    <w:rsid w:val="55CA2A9E"/>
    <w:rsid w:val="55CA3B80"/>
    <w:rsid w:val="55CB0099"/>
    <w:rsid w:val="55E50F1B"/>
    <w:rsid w:val="565F6886"/>
    <w:rsid w:val="567E42E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27678D"/>
    <w:rsid w:val="5A3B2376"/>
    <w:rsid w:val="5A40591F"/>
    <w:rsid w:val="5A6F0692"/>
    <w:rsid w:val="5A8D1767"/>
    <w:rsid w:val="5ABF2E42"/>
    <w:rsid w:val="5B586398"/>
    <w:rsid w:val="5B916903"/>
    <w:rsid w:val="5BEF472E"/>
    <w:rsid w:val="5C4D2975"/>
    <w:rsid w:val="5C6B7B35"/>
    <w:rsid w:val="5C73765A"/>
    <w:rsid w:val="5C932202"/>
    <w:rsid w:val="5CC87E6F"/>
    <w:rsid w:val="5CD918EA"/>
    <w:rsid w:val="5D247D3D"/>
    <w:rsid w:val="5D783AA9"/>
    <w:rsid w:val="5DAE1AC9"/>
    <w:rsid w:val="5E153AF5"/>
    <w:rsid w:val="5F0E1E7F"/>
    <w:rsid w:val="5F112305"/>
    <w:rsid w:val="5F2767B3"/>
    <w:rsid w:val="5FE31F70"/>
    <w:rsid w:val="60045498"/>
    <w:rsid w:val="614C1844"/>
    <w:rsid w:val="617A6C2D"/>
    <w:rsid w:val="618968F0"/>
    <w:rsid w:val="619E6355"/>
    <w:rsid w:val="61BD64DA"/>
    <w:rsid w:val="6215384D"/>
    <w:rsid w:val="623962B6"/>
    <w:rsid w:val="625A51D7"/>
    <w:rsid w:val="627460EE"/>
    <w:rsid w:val="62AC06BC"/>
    <w:rsid w:val="633B4987"/>
    <w:rsid w:val="633D4AEC"/>
    <w:rsid w:val="63525D55"/>
    <w:rsid w:val="63F321C7"/>
    <w:rsid w:val="64AD5041"/>
    <w:rsid w:val="64C20A08"/>
    <w:rsid w:val="64F06443"/>
    <w:rsid w:val="65737FB9"/>
    <w:rsid w:val="65A924FF"/>
    <w:rsid w:val="65DF5ECF"/>
    <w:rsid w:val="665A45AE"/>
    <w:rsid w:val="66A662C4"/>
    <w:rsid w:val="66DE2D4E"/>
    <w:rsid w:val="67222B8A"/>
    <w:rsid w:val="679D182D"/>
    <w:rsid w:val="67BB6396"/>
    <w:rsid w:val="68070598"/>
    <w:rsid w:val="68794E30"/>
    <w:rsid w:val="687B5327"/>
    <w:rsid w:val="688621C1"/>
    <w:rsid w:val="68C15BDE"/>
    <w:rsid w:val="697C3CC8"/>
    <w:rsid w:val="6AD23ACD"/>
    <w:rsid w:val="6AE706B2"/>
    <w:rsid w:val="6B0E79A8"/>
    <w:rsid w:val="6B103823"/>
    <w:rsid w:val="6B315A81"/>
    <w:rsid w:val="6C19682C"/>
    <w:rsid w:val="6C3F4637"/>
    <w:rsid w:val="6C9D07C7"/>
    <w:rsid w:val="6CB426A8"/>
    <w:rsid w:val="6D3835CD"/>
    <w:rsid w:val="6D9B59D3"/>
    <w:rsid w:val="6DDF18A8"/>
    <w:rsid w:val="6E7742D5"/>
    <w:rsid w:val="6E947A29"/>
    <w:rsid w:val="6EC61239"/>
    <w:rsid w:val="6EFB1E55"/>
    <w:rsid w:val="701E0D35"/>
    <w:rsid w:val="708C2BAE"/>
    <w:rsid w:val="70C70BCA"/>
    <w:rsid w:val="717A54B6"/>
    <w:rsid w:val="71E47115"/>
    <w:rsid w:val="72124418"/>
    <w:rsid w:val="72BF52A3"/>
    <w:rsid w:val="73520170"/>
    <w:rsid w:val="73B32D5B"/>
    <w:rsid w:val="74906E74"/>
    <w:rsid w:val="74D2633E"/>
    <w:rsid w:val="75127B2A"/>
    <w:rsid w:val="752D6ECB"/>
    <w:rsid w:val="756B70AB"/>
    <w:rsid w:val="762D45E7"/>
    <w:rsid w:val="76432C97"/>
    <w:rsid w:val="76472E5B"/>
    <w:rsid w:val="76622032"/>
    <w:rsid w:val="76BD09E4"/>
    <w:rsid w:val="76DA2B8D"/>
    <w:rsid w:val="773F1B2E"/>
    <w:rsid w:val="776141C0"/>
    <w:rsid w:val="77E71EE7"/>
    <w:rsid w:val="78403651"/>
    <w:rsid w:val="784051C1"/>
    <w:rsid w:val="789E16E5"/>
    <w:rsid w:val="78DB40C6"/>
    <w:rsid w:val="7954401D"/>
    <w:rsid w:val="79547EF1"/>
    <w:rsid w:val="79A24C96"/>
    <w:rsid w:val="7AC02D1F"/>
    <w:rsid w:val="7AD311C3"/>
    <w:rsid w:val="7AE80A7B"/>
    <w:rsid w:val="7AE861A8"/>
    <w:rsid w:val="7B452E9A"/>
    <w:rsid w:val="7B5E14E4"/>
    <w:rsid w:val="7B741965"/>
    <w:rsid w:val="7BBF78B4"/>
    <w:rsid w:val="7BD201CD"/>
    <w:rsid w:val="7BFE30BC"/>
    <w:rsid w:val="7C0A7BF1"/>
    <w:rsid w:val="7CD24C07"/>
    <w:rsid w:val="7CDD0037"/>
    <w:rsid w:val="7D2C5AF6"/>
    <w:rsid w:val="7D8F4D87"/>
    <w:rsid w:val="7DBB66FE"/>
    <w:rsid w:val="7DBE27C1"/>
    <w:rsid w:val="7DCA5F0F"/>
    <w:rsid w:val="7E1F736F"/>
    <w:rsid w:val="7E300305"/>
    <w:rsid w:val="7E7D74C3"/>
    <w:rsid w:val="7EFE1D08"/>
    <w:rsid w:val="7F346A78"/>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qFormat/>
    <w:uiPriority w:val="1"/>
    <w:rPr>
      <w:rFonts w:ascii="宋体" w:hAnsi="宋体" w:cs="Courier New"/>
      <w:sz w:val="32"/>
      <w:szCs w:val="32"/>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w:basedOn w:val="1"/>
    <w:link w:val="9"/>
    <w:qFormat/>
    <w:uiPriority w:val="0"/>
    <w:rPr>
      <w:rFonts w:ascii="宋体" w:hAnsi="宋体" w:cs="Courier New"/>
      <w:sz w:val="32"/>
      <w:szCs w:val="32"/>
    </w:rPr>
  </w:style>
  <w:style w:type="character" w:styleId="11">
    <w:name w:val="Strong"/>
    <w:basedOn w:val="9"/>
    <w:qFormat/>
    <w:uiPriority w:val="0"/>
    <w:rPr>
      <w:b/>
      <w:bCs/>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3</Pages>
  <Words>1038</Words>
  <Characters>1631</Characters>
  <Lines>13</Lines>
  <Paragraphs>5</Paragraphs>
  <TotalTime>8</TotalTime>
  <ScaleCrop>false</ScaleCrop>
  <LinksUpToDate>false</LinksUpToDate>
  <CharactersWithSpaces>2664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2023-03-24T01:44:27Z</dcterms:modified>
  <dc:title>关于2019年部门预算的批复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E7E435903E954F16B3A6550F30CE4D1E</vt:lpwstr>
  </property>
</Properties>
</file>