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24" w:lineRule="auto"/>
        <w:jc w:val="center"/>
        <w:rPr>
          <w:rFonts w:hint="eastAsia" w:ascii="黑体" w:hAnsi="黑体" w:eastAsia="黑体"/>
          <w:b/>
          <w:color w:val="000000"/>
          <w:sz w:val="44"/>
          <w:highlight w:val="white"/>
        </w:rPr>
      </w:pPr>
      <w:r>
        <w:rPr>
          <w:rFonts w:hint="eastAsia" w:ascii="黑体" w:hAnsi="黑体" w:eastAsia="黑体"/>
          <w:b/>
          <w:spacing w:val="15"/>
          <w:sz w:val="44"/>
          <w:highlight w:val="white"/>
          <w:lang w:eastAsia="zh-CN"/>
        </w:rPr>
        <w:t>莲都区人民法院</w:t>
      </w:r>
      <w:r>
        <w:rPr>
          <w:rFonts w:hint="eastAsia" w:ascii="黑体" w:hAnsi="黑体" w:eastAsia="黑体"/>
          <w:b/>
          <w:color w:val="000000"/>
          <w:sz w:val="44"/>
          <w:highlight w:val="white"/>
        </w:rPr>
        <w:t>2021年度单位决算</w:t>
      </w:r>
    </w:p>
    <w:p>
      <w:pPr>
        <w:spacing w:line="324" w:lineRule="auto"/>
        <w:jc w:val="center"/>
        <w:rPr>
          <w:rFonts w:hint="eastAsia" w:ascii="黑体" w:hAnsi="黑体" w:eastAsia="黑体"/>
          <w:b/>
          <w:color w:val="000000"/>
          <w:sz w:val="44"/>
          <w:highlight w:val="white"/>
        </w:rPr>
      </w:pPr>
      <w:r>
        <w:rPr>
          <w:rFonts w:hint="eastAsia" w:ascii="黑体" w:hAnsi="黑体" w:eastAsia="黑体"/>
          <w:b/>
          <w:color w:val="000000"/>
          <w:sz w:val="44"/>
          <w:highlight w:val="white"/>
        </w:rPr>
        <w:t>目录</w:t>
      </w:r>
    </w:p>
    <w:p>
      <w:pPr>
        <w:spacing w:line="324" w:lineRule="auto"/>
        <w:jc w:val="left"/>
        <w:rPr>
          <w:rFonts w:hint="eastAsia" w:ascii="等线" w:hAnsi="等线" w:eastAsia="等线"/>
          <w:color w:val="auto"/>
          <w:sz w:val="22"/>
        </w:rPr>
      </w:pPr>
      <w:r>
        <w:rPr>
          <w:rFonts w:hint="eastAsia" w:ascii="等线" w:hAnsi="等线" w:eastAsia="等线"/>
          <w:color w:val="000000"/>
          <w:sz w:val="22"/>
          <w:highlight w:val="white"/>
        </w:rPr>
        <w:t>一、概况.........................................................................................................................</w:t>
      </w:r>
      <w:r>
        <w:rPr>
          <w:rFonts w:hint="eastAsia" w:ascii="等线" w:hAnsi="等线" w:eastAsia="等线"/>
          <w:color w:val="auto"/>
          <w:sz w:val="22"/>
        </w:rPr>
        <w:t xml:space="preserve">( </w:t>
      </w:r>
      <w:r>
        <w:rPr>
          <w:rFonts w:hint="eastAsia" w:ascii="等线" w:hAnsi="等线" w:eastAsia="等线"/>
          <w:color w:val="auto"/>
          <w:sz w:val="22"/>
          <w:lang w:val="en-US" w:eastAsia="zh-CN"/>
        </w:rPr>
        <w:t>2</w:t>
      </w:r>
      <w:r>
        <w:rPr>
          <w:rFonts w:hint="eastAsia" w:ascii="等线" w:hAnsi="等线" w:eastAsia="等线"/>
          <w:color w:val="auto"/>
          <w:sz w:val="22"/>
        </w:rPr>
        <w:t xml:space="preserve"> )</w:t>
      </w:r>
    </w:p>
    <w:p>
      <w:pPr>
        <w:ind w:left="420"/>
        <w:jc w:val="left"/>
        <w:rPr>
          <w:rFonts w:hint="eastAsia" w:ascii="等线" w:hAnsi="等线" w:eastAsia="等线"/>
          <w:color w:val="auto"/>
          <w:sz w:val="22"/>
        </w:rPr>
      </w:pPr>
      <w:r>
        <w:rPr>
          <w:rFonts w:hint="eastAsia" w:ascii="等线" w:hAnsi="等线" w:eastAsia="等线"/>
          <w:color w:val="000000"/>
          <w:sz w:val="22"/>
          <w:highlight w:val="white"/>
        </w:rPr>
        <w:t>（一）单位职责........................................................................................................</w:t>
      </w:r>
      <w:r>
        <w:rPr>
          <w:rFonts w:hint="eastAsia" w:ascii="等线" w:hAnsi="等线" w:eastAsia="等线"/>
          <w:color w:val="auto"/>
          <w:sz w:val="22"/>
        </w:rPr>
        <w:t xml:space="preserve">( </w:t>
      </w:r>
      <w:r>
        <w:rPr>
          <w:rFonts w:hint="eastAsia" w:ascii="等线" w:hAnsi="等线" w:eastAsia="等线"/>
          <w:color w:val="auto"/>
          <w:sz w:val="22"/>
          <w:lang w:val="en-US" w:eastAsia="zh-CN"/>
        </w:rPr>
        <w:t>2</w:t>
      </w:r>
      <w:r>
        <w:rPr>
          <w:rFonts w:hint="eastAsia" w:ascii="等线" w:hAnsi="等线" w:eastAsia="等线"/>
          <w:color w:val="auto"/>
          <w:sz w:val="22"/>
        </w:rPr>
        <w:t xml:space="preserve"> )</w:t>
      </w:r>
    </w:p>
    <w:p>
      <w:pPr>
        <w:ind w:left="420"/>
        <w:jc w:val="left"/>
        <w:rPr>
          <w:rFonts w:hint="eastAsia" w:ascii="等线" w:hAnsi="等线" w:eastAsia="等线"/>
          <w:color w:val="auto"/>
          <w:sz w:val="22"/>
        </w:rPr>
      </w:pPr>
      <w:r>
        <w:rPr>
          <w:rFonts w:hint="eastAsia" w:ascii="等线" w:hAnsi="等线" w:eastAsia="等线"/>
          <w:color w:val="000000"/>
          <w:sz w:val="22"/>
          <w:highlight w:val="white"/>
        </w:rPr>
        <w:t>（二）机构设置........................................................................................................</w:t>
      </w:r>
      <w:r>
        <w:rPr>
          <w:rFonts w:hint="eastAsia" w:ascii="等线" w:hAnsi="等线" w:eastAsia="等线"/>
          <w:color w:val="auto"/>
          <w:sz w:val="22"/>
        </w:rPr>
        <w:t>(</w:t>
      </w:r>
      <w:r>
        <w:rPr>
          <w:rFonts w:hint="eastAsia" w:ascii="等线" w:hAnsi="等线" w:eastAsia="等线"/>
          <w:color w:val="auto"/>
          <w:sz w:val="22"/>
          <w:lang w:val="en-US" w:eastAsia="zh-CN"/>
        </w:rPr>
        <w:t>4</w:t>
      </w:r>
      <w:r>
        <w:rPr>
          <w:rFonts w:hint="eastAsia" w:ascii="等线" w:hAnsi="等线" w:eastAsia="等线"/>
          <w:color w:val="auto"/>
          <w:sz w:val="22"/>
        </w:rPr>
        <w:t xml:space="preserve"> )</w:t>
      </w:r>
    </w:p>
    <w:p>
      <w:pPr>
        <w:jc w:val="left"/>
        <w:rPr>
          <w:rFonts w:hint="eastAsia" w:ascii="等线" w:hAnsi="等线" w:eastAsia="等线"/>
          <w:color w:val="auto"/>
          <w:sz w:val="22"/>
        </w:rPr>
      </w:pPr>
      <w:r>
        <w:rPr>
          <w:rFonts w:hint="eastAsia" w:ascii="等线" w:hAnsi="等线" w:eastAsia="等线"/>
          <w:color w:val="auto"/>
          <w:sz w:val="22"/>
        </w:rPr>
        <w:t>二、</w:t>
      </w:r>
      <w:r>
        <w:rPr>
          <w:rFonts w:hint="eastAsia" w:ascii="等线" w:hAnsi="等线" w:eastAsia="等线"/>
          <w:color w:val="000000"/>
          <w:sz w:val="22"/>
          <w:highlight w:val="white"/>
        </w:rPr>
        <w:t>2021年度单位决算公开表........................................................................................</w:t>
      </w:r>
      <w:r>
        <w:rPr>
          <w:rFonts w:hint="eastAsia" w:ascii="等线" w:hAnsi="等线" w:eastAsia="等线"/>
          <w:color w:val="auto"/>
          <w:sz w:val="22"/>
        </w:rPr>
        <w:t xml:space="preserve">( </w:t>
      </w:r>
      <w:r>
        <w:rPr>
          <w:rFonts w:hint="eastAsia" w:ascii="等线" w:hAnsi="等线" w:eastAsia="等线"/>
          <w:color w:val="auto"/>
          <w:sz w:val="22"/>
          <w:lang w:val="en-US" w:eastAsia="zh-CN"/>
        </w:rPr>
        <w:t>4</w:t>
      </w:r>
      <w:r>
        <w:rPr>
          <w:rFonts w:hint="eastAsia" w:ascii="等线" w:hAnsi="等线" w:eastAsia="等线"/>
          <w:color w:val="auto"/>
          <w:sz w:val="22"/>
        </w:rPr>
        <w:t xml:space="preserve"> )</w:t>
      </w:r>
    </w:p>
    <w:p>
      <w:pPr>
        <w:jc w:val="left"/>
        <w:rPr>
          <w:rFonts w:hint="eastAsia" w:ascii="等线" w:hAnsi="等线" w:eastAsia="等线"/>
          <w:color w:val="auto"/>
          <w:sz w:val="22"/>
          <w:lang w:val="en-US"/>
        </w:rPr>
      </w:pPr>
      <w:r>
        <w:rPr>
          <w:rFonts w:hint="eastAsia" w:ascii="等线" w:hAnsi="等线" w:eastAsia="等线"/>
          <w:color w:val="auto"/>
          <w:sz w:val="22"/>
          <w:highlight w:val="white"/>
          <w:lang w:val="zh-CN"/>
        </w:rPr>
        <w:t>三、</w:t>
      </w:r>
      <w:r>
        <w:rPr>
          <w:rFonts w:hint="eastAsia" w:ascii="等线" w:hAnsi="等线" w:eastAsia="等线"/>
          <w:color w:val="000000"/>
          <w:sz w:val="22"/>
          <w:highlight w:val="white"/>
          <w:lang w:val="en-US"/>
        </w:rPr>
        <w:t>2021年度单位决算情况说明..........</w:t>
      </w:r>
      <w:r>
        <w:rPr>
          <w:rFonts w:hint="eastAsia" w:ascii="等线" w:hAnsi="等线" w:eastAsia="等线"/>
          <w:color w:val="000000"/>
          <w:sz w:val="22"/>
          <w:highlight w:val="white"/>
        </w:rPr>
        <w:t>............</w:t>
      </w:r>
      <w:r>
        <w:rPr>
          <w:rFonts w:hint="eastAsia" w:ascii="等线" w:hAnsi="等线" w:eastAsia="等线"/>
          <w:color w:val="000000"/>
          <w:sz w:val="22"/>
          <w:highlight w:val="white"/>
          <w:lang w:val="en-US"/>
        </w:rPr>
        <w:t>...............................................................</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4</w:t>
      </w:r>
      <w:r>
        <w:rPr>
          <w:rFonts w:hint="eastAsia" w:ascii="等线" w:hAnsi="等线" w:eastAsia="等线"/>
          <w:color w:val="auto"/>
          <w:sz w:val="22"/>
          <w:lang w:val="en-US"/>
        </w:rPr>
        <w:t xml:space="preserve"> )</w:t>
      </w:r>
    </w:p>
    <w:p>
      <w:pPr>
        <w:ind w:left="420"/>
        <w:jc w:val="left"/>
        <w:rPr>
          <w:rFonts w:hint="eastAsia" w:ascii="等线" w:hAnsi="等线" w:eastAsia="等线"/>
          <w:color w:val="auto"/>
          <w:sz w:val="22"/>
          <w:lang w:val="en-US"/>
        </w:rPr>
      </w:pPr>
      <w:r>
        <w:rPr>
          <w:rFonts w:hint="eastAsia" w:ascii="等线" w:hAnsi="等线" w:eastAsia="等线"/>
          <w:color w:val="000000"/>
          <w:sz w:val="22"/>
          <w:highlight w:val="white"/>
          <w:lang w:val="en-US"/>
        </w:rPr>
        <w:t>（一）收入支出决算总体情况说明...........................................................................</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4</w:t>
      </w:r>
      <w:r>
        <w:rPr>
          <w:rFonts w:hint="eastAsia" w:ascii="等线" w:hAnsi="等线" w:eastAsia="等线"/>
          <w:color w:val="auto"/>
          <w:sz w:val="22"/>
          <w:lang w:val="en-US"/>
        </w:rPr>
        <w:t xml:space="preserve"> )</w:t>
      </w:r>
    </w:p>
    <w:p>
      <w:pPr>
        <w:ind w:left="420"/>
        <w:jc w:val="left"/>
        <w:rPr>
          <w:rFonts w:hint="eastAsia" w:ascii="等线" w:hAnsi="等线" w:eastAsia="等线"/>
          <w:color w:val="auto"/>
          <w:sz w:val="22"/>
          <w:lang w:val="en-US"/>
        </w:rPr>
      </w:pPr>
      <w:r>
        <w:rPr>
          <w:rFonts w:hint="eastAsia" w:ascii="等线" w:hAnsi="等线" w:eastAsia="等线"/>
          <w:color w:val="000000"/>
          <w:sz w:val="22"/>
          <w:highlight w:val="white"/>
          <w:lang w:val="en-US"/>
        </w:rPr>
        <w:t>（二）收入决算情况说明....................</w:t>
      </w:r>
      <w:bookmarkStart w:id="0" w:name="_GoBack"/>
      <w:bookmarkEnd w:id="0"/>
      <w:r>
        <w:rPr>
          <w:rFonts w:hint="eastAsia" w:ascii="等线" w:hAnsi="等线" w:eastAsia="等线"/>
          <w:color w:val="000000"/>
          <w:sz w:val="22"/>
          <w:highlight w:val="white"/>
          <w:lang w:val="en-US"/>
        </w:rPr>
        <w:t>.....................................................................</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4</w:t>
      </w:r>
      <w:r>
        <w:rPr>
          <w:rFonts w:hint="eastAsia" w:ascii="等线" w:hAnsi="等线" w:eastAsia="等线"/>
          <w:color w:val="auto"/>
          <w:sz w:val="22"/>
          <w:lang w:val="en-US"/>
        </w:rPr>
        <w:t xml:space="preserve"> )</w:t>
      </w:r>
    </w:p>
    <w:p>
      <w:pPr>
        <w:ind w:left="420"/>
        <w:jc w:val="left"/>
        <w:rPr>
          <w:rFonts w:hint="eastAsia" w:ascii="等线" w:hAnsi="等线" w:eastAsia="等线"/>
          <w:color w:val="auto"/>
          <w:sz w:val="22"/>
          <w:lang w:val="en-US"/>
        </w:rPr>
      </w:pPr>
      <w:r>
        <w:rPr>
          <w:rFonts w:hint="eastAsia" w:ascii="等线" w:hAnsi="等线" w:eastAsia="等线"/>
          <w:color w:val="000000"/>
          <w:sz w:val="22"/>
          <w:highlight w:val="white"/>
          <w:lang w:val="en-US"/>
        </w:rPr>
        <w:t>（三）支出决算情况说明.........................................................................................</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5</w:t>
      </w:r>
      <w:r>
        <w:rPr>
          <w:rFonts w:hint="eastAsia" w:ascii="等线" w:hAnsi="等线" w:eastAsia="等线"/>
          <w:color w:val="auto"/>
          <w:sz w:val="22"/>
          <w:lang w:val="en-US"/>
        </w:rPr>
        <w:t xml:space="preserve"> )</w:t>
      </w:r>
    </w:p>
    <w:p>
      <w:pPr>
        <w:ind w:left="420"/>
        <w:jc w:val="left"/>
        <w:rPr>
          <w:rFonts w:hint="eastAsia" w:ascii="等线" w:hAnsi="等线" w:eastAsia="等线"/>
          <w:color w:val="auto"/>
          <w:sz w:val="22"/>
          <w:lang w:val="en-US"/>
        </w:rPr>
      </w:pPr>
      <w:r>
        <w:rPr>
          <w:rFonts w:hint="eastAsia" w:ascii="等线" w:hAnsi="等线" w:eastAsia="等线"/>
          <w:color w:val="000000"/>
          <w:sz w:val="22"/>
          <w:highlight w:val="white"/>
          <w:lang w:val="en-US"/>
        </w:rPr>
        <w:t>（四）财政拨款收入支出决算总体情况说明.............................................................</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5</w:t>
      </w:r>
      <w:r>
        <w:rPr>
          <w:rFonts w:hint="eastAsia" w:ascii="等线" w:hAnsi="等线" w:eastAsia="等线"/>
          <w:color w:val="auto"/>
          <w:sz w:val="22"/>
          <w:lang w:val="en-US"/>
        </w:rPr>
        <w:t xml:space="preserve"> )</w:t>
      </w:r>
    </w:p>
    <w:p>
      <w:pPr>
        <w:ind w:left="420"/>
        <w:jc w:val="left"/>
        <w:rPr>
          <w:rFonts w:hint="eastAsia" w:ascii="等线" w:hAnsi="等线" w:eastAsia="等线"/>
          <w:color w:val="auto"/>
          <w:sz w:val="22"/>
          <w:lang w:val="en-US"/>
        </w:rPr>
      </w:pPr>
      <w:r>
        <w:rPr>
          <w:rFonts w:hint="eastAsia" w:ascii="等线" w:hAnsi="等线" w:eastAsia="等线"/>
          <w:color w:val="000000"/>
          <w:sz w:val="22"/>
          <w:highlight w:val="white"/>
          <w:lang w:val="en-US"/>
        </w:rPr>
        <w:t>（五）一般公共预算财政拨款支出决算情况说明......................................................</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5</w:t>
      </w:r>
      <w:r>
        <w:rPr>
          <w:rFonts w:hint="eastAsia" w:ascii="等线" w:hAnsi="等线" w:eastAsia="等线"/>
          <w:color w:val="auto"/>
          <w:sz w:val="22"/>
          <w:lang w:val="en-US"/>
        </w:rPr>
        <w:t xml:space="preserve"> )</w:t>
      </w:r>
    </w:p>
    <w:p>
      <w:pPr>
        <w:ind w:left="420"/>
        <w:jc w:val="left"/>
        <w:rPr>
          <w:rFonts w:hint="eastAsia" w:ascii="等线" w:hAnsi="等线" w:eastAsia="等线"/>
          <w:color w:val="auto"/>
          <w:sz w:val="22"/>
          <w:lang w:val="en-US"/>
        </w:rPr>
      </w:pPr>
      <w:r>
        <w:rPr>
          <w:rFonts w:hint="eastAsia" w:ascii="等线" w:hAnsi="等线" w:eastAsia="等线"/>
          <w:color w:val="000000"/>
          <w:sz w:val="22"/>
          <w:highlight w:val="white"/>
          <w:lang w:val="en-US"/>
        </w:rPr>
        <w:t>（六）一般公共预算财政拨款基本支出决算情况说明.............................................</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8</w:t>
      </w:r>
      <w:r>
        <w:rPr>
          <w:rFonts w:hint="eastAsia" w:ascii="等线" w:hAnsi="等线" w:eastAsia="等线"/>
          <w:color w:val="auto"/>
          <w:sz w:val="22"/>
          <w:lang w:val="en-US"/>
        </w:rPr>
        <w:t xml:space="preserve"> )</w:t>
      </w:r>
    </w:p>
    <w:p>
      <w:pPr>
        <w:ind w:left="420"/>
        <w:jc w:val="left"/>
        <w:rPr>
          <w:rFonts w:hint="eastAsia" w:ascii="等线" w:hAnsi="等线" w:eastAsia="等线"/>
          <w:color w:val="auto"/>
          <w:sz w:val="22"/>
          <w:lang w:val="en-US"/>
        </w:rPr>
      </w:pPr>
      <w:r>
        <w:rPr>
          <w:rFonts w:hint="eastAsia" w:ascii="等线" w:hAnsi="等线" w:eastAsia="等线"/>
          <w:color w:val="000000"/>
          <w:sz w:val="22"/>
          <w:highlight w:val="white"/>
          <w:lang w:val="en-US"/>
        </w:rPr>
        <w:t>（七）政府性基金预算财政拨款支出</w:t>
      </w:r>
      <w:r>
        <w:rPr>
          <w:rFonts w:hint="eastAsia" w:ascii="等线" w:hAnsi="等线" w:eastAsia="等线"/>
          <w:color w:val="000000"/>
          <w:sz w:val="22"/>
          <w:highlight w:val="white"/>
          <w:lang w:val="zh-CN"/>
        </w:rPr>
        <w:t>决算</w:t>
      </w:r>
      <w:r>
        <w:rPr>
          <w:rFonts w:hint="eastAsia" w:ascii="等线" w:hAnsi="等线" w:eastAsia="等线"/>
          <w:color w:val="000000"/>
          <w:sz w:val="22"/>
          <w:highlight w:val="white"/>
          <w:lang w:val="en-US"/>
        </w:rPr>
        <w:t>总体情况说明...........................................</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8</w:t>
      </w:r>
      <w:r>
        <w:rPr>
          <w:rFonts w:hint="eastAsia" w:ascii="等线" w:hAnsi="等线" w:eastAsia="等线"/>
          <w:color w:val="auto"/>
          <w:sz w:val="22"/>
          <w:lang w:val="en-US"/>
        </w:rPr>
        <w:t xml:space="preserve"> )</w:t>
      </w:r>
    </w:p>
    <w:p>
      <w:pPr>
        <w:ind w:left="420"/>
        <w:jc w:val="left"/>
        <w:rPr>
          <w:rFonts w:hint="eastAsia" w:ascii="等线" w:hAnsi="等线" w:eastAsia="等线"/>
          <w:color w:val="000000"/>
          <w:sz w:val="22"/>
          <w:highlight w:val="white"/>
          <w:lang w:val="en-US"/>
        </w:rPr>
      </w:pPr>
      <w:r>
        <w:rPr>
          <w:rFonts w:hint="eastAsia" w:ascii="等线" w:hAnsi="等线" w:eastAsia="等线"/>
          <w:color w:val="000000"/>
          <w:sz w:val="22"/>
          <w:highlight w:val="white"/>
          <w:lang w:val="en-US"/>
        </w:rPr>
        <w:t>（八）国有资本经营预算财政拨款支出</w:t>
      </w:r>
      <w:r>
        <w:rPr>
          <w:rFonts w:hint="eastAsia" w:ascii="等线" w:hAnsi="等线" w:eastAsia="等线"/>
          <w:color w:val="000000"/>
          <w:sz w:val="22"/>
          <w:highlight w:val="white"/>
          <w:lang w:val="zh-CN"/>
        </w:rPr>
        <w:t>决算</w:t>
      </w:r>
      <w:r>
        <w:rPr>
          <w:rFonts w:hint="eastAsia" w:ascii="等线" w:hAnsi="等线" w:eastAsia="等线"/>
          <w:color w:val="000000"/>
          <w:sz w:val="22"/>
          <w:highlight w:val="white"/>
          <w:lang w:val="en-US"/>
        </w:rPr>
        <w:t>总体情况说明........................................</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9</w:t>
      </w:r>
      <w:r>
        <w:rPr>
          <w:rFonts w:hint="eastAsia" w:ascii="等线" w:hAnsi="等线" w:eastAsia="等线"/>
          <w:color w:val="auto"/>
          <w:sz w:val="22"/>
          <w:lang w:val="en-US"/>
        </w:rPr>
        <w:t xml:space="preserve"> )</w:t>
      </w:r>
    </w:p>
    <w:p>
      <w:pPr>
        <w:ind w:left="420"/>
        <w:jc w:val="left"/>
        <w:rPr>
          <w:rFonts w:hint="eastAsia" w:ascii="等线" w:hAnsi="等线" w:eastAsia="等线"/>
          <w:color w:val="000000"/>
          <w:sz w:val="22"/>
          <w:highlight w:val="white"/>
          <w:lang w:val="en-US"/>
        </w:rPr>
      </w:pPr>
      <w:r>
        <w:rPr>
          <w:rFonts w:hint="eastAsia" w:ascii="等线" w:hAnsi="等线" w:eastAsia="等线"/>
          <w:color w:val="000000"/>
          <w:sz w:val="22"/>
          <w:highlight w:val="white"/>
          <w:lang w:val="en-US"/>
        </w:rPr>
        <w:t>（九）一般公共预算财政拨款“三公”经费支出决算情况说明....................................</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10</w:t>
      </w:r>
      <w:r>
        <w:rPr>
          <w:rFonts w:hint="eastAsia" w:ascii="等线" w:hAnsi="等线" w:eastAsia="等线"/>
          <w:color w:val="auto"/>
          <w:sz w:val="22"/>
          <w:lang w:val="en-US"/>
        </w:rPr>
        <w:t>)</w:t>
      </w:r>
    </w:p>
    <w:p>
      <w:pPr>
        <w:ind w:left="420"/>
        <w:jc w:val="left"/>
        <w:rPr>
          <w:rFonts w:hint="eastAsia" w:ascii="等线" w:hAnsi="等线" w:eastAsia="等线"/>
          <w:color w:val="auto"/>
          <w:sz w:val="22"/>
          <w:lang w:val="en-US"/>
        </w:rPr>
      </w:pPr>
      <w:r>
        <w:rPr>
          <w:rFonts w:hint="eastAsia" w:ascii="等线" w:hAnsi="等线" w:eastAsia="等线"/>
          <w:color w:val="000000"/>
          <w:sz w:val="22"/>
          <w:highlight w:val="white"/>
          <w:lang w:val="en-US"/>
        </w:rPr>
        <w:t>（十）机关运行经费支出说明................................................................................</w:t>
      </w:r>
      <w:r>
        <w:rPr>
          <w:rFonts w:hint="eastAsia" w:ascii="等线" w:hAnsi="等线" w:eastAsia="等线"/>
          <w:color w:val="000000"/>
          <w:sz w:val="22"/>
          <w:highlight w:val="white"/>
          <w:lang w:val="en-US" w:eastAsia="zh-CN"/>
        </w:rPr>
        <w:t xml:space="preserve"> </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12</w:t>
      </w:r>
      <w:r>
        <w:rPr>
          <w:rFonts w:hint="eastAsia" w:ascii="等线" w:hAnsi="等线" w:eastAsia="等线"/>
          <w:color w:val="auto"/>
          <w:sz w:val="22"/>
          <w:lang w:val="en-US"/>
        </w:rPr>
        <w:t xml:space="preserve"> )</w:t>
      </w:r>
    </w:p>
    <w:p>
      <w:pPr>
        <w:ind w:left="420"/>
        <w:jc w:val="left"/>
        <w:rPr>
          <w:rFonts w:hint="eastAsia" w:ascii="等线" w:hAnsi="等线" w:eastAsia="等线"/>
          <w:color w:val="000000"/>
          <w:sz w:val="22"/>
          <w:highlight w:val="white"/>
          <w:lang w:val="en-US"/>
        </w:rPr>
      </w:pPr>
      <w:r>
        <w:rPr>
          <w:rFonts w:hint="eastAsia" w:ascii="等线" w:hAnsi="等线" w:eastAsia="等线"/>
          <w:color w:val="000000"/>
          <w:sz w:val="22"/>
          <w:highlight w:val="white"/>
          <w:lang w:val="en-US"/>
        </w:rPr>
        <w:t>（十一）政府采购支出说明....................................................................................</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12</w:t>
      </w:r>
      <w:r>
        <w:rPr>
          <w:rFonts w:hint="eastAsia" w:ascii="等线" w:hAnsi="等线" w:eastAsia="等线"/>
          <w:color w:val="auto"/>
          <w:sz w:val="22"/>
          <w:lang w:val="en-US"/>
        </w:rPr>
        <w:t>)</w:t>
      </w:r>
    </w:p>
    <w:p>
      <w:pPr>
        <w:ind w:left="420"/>
        <w:jc w:val="left"/>
        <w:rPr>
          <w:rFonts w:hint="eastAsia" w:ascii="等线" w:hAnsi="等线" w:eastAsia="等线"/>
          <w:color w:val="000000"/>
          <w:sz w:val="22"/>
          <w:highlight w:val="white"/>
          <w:lang w:val="en-US"/>
        </w:rPr>
      </w:pPr>
      <w:r>
        <w:rPr>
          <w:rFonts w:hint="eastAsia" w:ascii="等线" w:hAnsi="等线" w:eastAsia="等线"/>
          <w:color w:val="000000"/>
          <w:sz w:val="22"/>
          <w:highlight w:val="white"/>
          <w:lang w:val="en-US"/>
        </w:rPr>
        <w:t>（十二）国有资产占有情况说明.............................................................................</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12</w:t>
      </w:r>
      <w:r>
        <w:rPr>
          <w:rFonts w:hint="eastAsia" w:ascii="等线" w:hAnsi="等线" w:eastAsia="等线"/>
          <w:color w:val="auto"/>
          <w:sz w:val="22"/>
          <w:lang w:val="en-US"/>
        </w:rPr>
        <w:t xml:space="preserve"> )</w:t>
      </w:r>
    </w:p>
    <w:p>
      <w:pPr>
        <w:ind w:left="420"/>
        <w:jc w:val="left"/>
        <w:rPr>
          <w:rFonts w:hint="eastAsia" w:ascii="等线" w:hAnsi="等线" w:eastAsia="等线"/>
          <w:color w:val="auto"/>
          <w:sz w:val="22"/>
          <w:lang w:val="en-US"/>
        </w:rPr>
      </w:pPr>
      <w:r>
        <w:rPr>
          <w:rFonts w:hint="eastAsia" w:ascii="等线" w:hAnsi="等线" w:eastAsia="等线"/>
          <w:color w:val="000000"/>
          <w:sz w:val="22"/>
          <w:highlight w:val="white"/>
          <w:lang w:val="en-US"/>
        </w:rPr>
        <w:t>（十三）预算绩效情况说明................................................................</w:t>
      </w:r>
      <w:r>
        <w:rPr>
          <w:rFonts w:hint="eastAsia" w:ascii="等线" w:hAnsi="等线" w:eastAsia="等线"/>
          <w:color w:val="000000"/>
          <w:sz w:val="22"/>
          <w:highlight w:val="white"/>
          <w:lang w:val="en-US" w:eastAsia="zh-CN"/>
        </w:rPr>
        <w:t>…</w:t>
      </w:r>
      <w:r>
        <w:rPr>
          <w:rFonts w:hint="eastAsia" w:ascii="等线" w:hAnsi="等线" w:eastAsia="等线"/>
          <w:color w:val="000000"/>
          <w:sz w:val="22"/>
          <w:highlight w:val="white"/>
          <w:lang w:val="en-US"/>
        </w:rPr>
        <w:t>.................</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13</w:t>
      </w:r>
      <w:r>
        <w:rPr>
          <w:rFonts w:hint="eastAsia" w:ascii="等线" w:hAnsi="等线" w:eastAsia="等线"/>
          <w:color w:val="auto"/>
          <w:sz w:val="22"/>
          <w:lang w:val="en-US"/>
        </w:rPr>
        <w:t>)</w:t>
      </w:r>
    </w:p>
    <w:p>
      <w:pPr>
        <w:jc w:val="left"/>
        <w:rPr>
          <w:rFonts w:hint="eastAsia" w:ascii="等线" w:hAnsi="等线" w:eastAsia="等线"/>
          <w:color w:val="auto"/>
          <w:sz w:val="22"/>
          <w:lang w:val="en-US"/>
        </w:rPr>
      </w:pPr>
      <w:r>
        <w:rPr>
          <w:rFonts w:hint="eastAsia" w:ascii="等线" w:hAnsi="等线" w:eastAsia="等线"/>
          <w:color w:val="000000"/>
          <w:sz w:val="22"/>
          <w:highlight w:val="white"/>
          <w:lang w:val="en-US"/>
        </w:rPr>
        <w:t>四、名词解释.................................................................................................................</w:t>
      </w:r>
      <w:r>
        <w:rPr>
          <w:rFonts w:hint="eastAsia" w:ascii="等线" w:hAnsi="等线" w:eastAsia="等线"/>
          <w:color w:val="auto"/>
          <w:sz w:val="22"/>
          <w:lang w:val="en-US"/>
        </w:rPr>
        <w:t xml:space="preserve">( </w:t>
      </w:r>
      <w:r>
        <w:rPr>
          <w:rFonts w:hint="eastAsia" w:ascii="等线" w:hAnsi="等线" w:eastAsia="等线"/>
          <w:color w:val="auto"/>
          <w:sz w:val="22"/>
          <w:lang w:val="en-US" w:eastAsia="zh-CN"/>
        </w:rPr>
        <w:t>19</w:t>
      </w:r>
      <w:r>
        <w:rPr>
          <w:rFonts w:hint="eastAsia" w:ascii="等线" w:hAnsi="等线" w:eastAsia="等线"/>
          <w:color w:val="auto"/>
          <w:sz w:val="22"/>
          <w:lang w:val="en-US"/>
        </w:rPr>
        <w:t xml:space="preserve"> )</w:t>
      </w:r>
    </w:p>
    <w:p>
      <w:pPr>
        <w:spacing w:line="324" w:lineRule="auto"/>
        <w:ind w:firstLine="600"/>
        <w:rPr>
          <w:rFonts w:hint="eastAsia" w:ascii="黑体" w:hAnsi="黑体" w:eastAsia="黑体"/>
          <w:b/>
          <w:color w:val="000000"/>
          <w:sz w:val="32"/>
          <w:highlight w:val="white"/>
          <w:lang w:val="en-US"/>
        </w:rPr>
      </w:pPr>
    </w:p>
    <w:p>
      <w:pPr>
        <w:spacing w:line="324" w:lineRule="auto"/>
        <w:ind w:firstLine="600"/>
        <w:rPr>
          <w:rFonts w:hint="eastAsia" w:ascii="黑体" w:hAnsi="黑体" w:eastAsia="黑体"/>
          <w:b/>
          <w:color w:val="000000"/>
          <w:sz w:val="32"/>
          <w:highlight w:val="white"/>
          <w:lang w:val="en-US"/>
        </w:rPr>
      </w:pPr>
    </w:p>
    <w:p>
      <w:pPr>
        <w:spacing w:line="324" w:lineRule="auto"/>
        <w:ind w:firstLine="600"/>
        <w:rPr>
          <w:rFonts w:hint="eastAsia" w:ascii="黑体" w:hAnsi="黑体" w:eastAsia="黑体"/>
          <w:b/>
          <w:color w:val="000000"/>
          <w:sz w:val="32"/>
          <w:highlight w:val="white"/>
          <w:lang w:val="en-US"/>
        </w:rPr>
      </w:pPr>
    </w:p>
    <w:p>
      <w:pPr>
        <w:spacing w:line="324" w:lineRule="auto"/>
        <w:ind w:firstLine="600"/>
        <w:rPr>
          <w:rFonts w:hint="eastAsia" w:ascii="黑体" w:hAnsi="黑体" w:eastAsia="黑体"/>
          <w:b/>
          <w:color w:val="000000"/>
          <w:sz w:val="32"/>
          <w:highlight w:val="white"/>
          <w:lang w:val="en-US"/>
        </w:rPr>
      </w:pPr>
    </w:p>
    <w:p>
      <w:pPr>
        <w:spacing w:line="324" w:lineRule="auto"/>
        <w:ind w:firstLine="600"/>
        <w:rPr>
          <w:rFonts w:hint="eastAsia" w:ascii="黑体" w:hAnsi="黑体" w:eastAsia="黑体"/>
          <w:b/>
          <w:color w:val="000000"/>
          <w:sz w:val="32"/>
          <w:highlight w:val="white"/>
          <w:lang w:val="en-US"/>
        </w:rPr>
      </w:pPr>
    </w:p>
    <w:p>
      <w:pPr>
        <w:spacing w:line="324" w:lineRule="auto"/>
        <w:ind w:firstLine="600"/>
        <w:rPr>
          <w:rFonts w:hint="eastAsia" w:ascii="黑体" w:hAnsi="黑体" w:eastAsia="黑体"/>
          <w:b/>
          <w:color w:val="000000"/>
          <w:sz w:val="32"/>
          <w:highlight w:val="white"/>
          <w:lang w:val="en-US"/>
        </w:rPr>
      </w:pPr>
    </w:p>
    <w:p>
      <w:pPr>
        <w:spacing w:line="324" w:lineRule="auto"/>
        <w:rPr>
          <w:rFonts w:hint="eastAsia" w:ascii="黑体" w:hAnsi="黑体" w:eastAsia="黑体"/>
          <w:b/>
          <w:color w:val="000000"/>
          <w:sz w:val="32"/>
          <w:highlight w:val="white"/>
          <w:lang w:val="en-US"/>
        </w:rPr>
      </w:pPr>
    </w:p>
    <w:p>
      <w:pPr>
        <w:spacing w:line="324" w:lineRule="auto"/>
        <w:ind w:firstLine="600"/>
        <w:rPr>
          <w:rFonts w:hint="eastAsia" w:ascii="黑体" w:hAnsi="黑体" w:eastAsia="黑体"/>
          <w:b/>
          <w:color w:val="000000"/>
          <w:sz w:val="32"/>
          <w:highlight w:val="white"/>
          <w:lang w:val="en-US"/>
        </w:rPr>
      </w:pPr>
    </w:p>
    <w:p>
      <w:pPr>
        <w:spacing w:line="324" w:lineRule="auto"/>
        <w:ind w:firstLine="600"/>
        <w:rPr>
          <w:rFonts w:hint="eastAsia" w:ascii="黑体" w:hAnsi="黑体" w:eastAsia="黑体"/>
          <w:b/>
          <w:color w:val="000000"/>
          <w:sz w:val="32"/>
          <w:highlight w:val="white"/>
          <w:lang w:val="en-US"/>
        </w:rPr>
      </w:pPr>
      <w:r>
        <w:rPr>
          <w:rFonts w:hint="eastAsia" w:ascii="黑体" w:hAnsi="黑体" w:eastAsia="黑体"/>
          <w:b/>
          <w:color w:val="000000"/>
          <w:sz w:val="32"/>
          <w:highlight w:val="white"/>
          <w:lang w:val="en-US"/>
        </w:rPr>
        <w:t>一、概况</w:t>
      </w:r>
    </w:p>
    <w:p>
      <w:pPr>
        <w:spacing w:line="324" w:lineRule="auto"/>
        <w:ind w:firstLine="594"/>
        <w:rPr>
          <w:rFonts w:hint="eastAsia" w:ascii="楷体" w:hAnsi="楷体" w:eastAsia="楷体"/>
          <w:b/>
          <w:color w:val="000000"/>
          <w:sz w:val="32"/>
          <w:highlight w:val="white"/>
          <w:lang w:val="en-US"/>
        </w:rPr>
      </w:pPr>
      <w:r>
        <w:rPr>
          <w:rFonts w:hint="eastAsia" w:ascii="楷体" w:hAnsi="楷体" w:eastAsia="楷体"/>
          <w:b/>
          <w:color w:val="000000"/>
          <w:sz w:val="32"/>
          <w:highlight w:val="white"/>
          <w:lang w:val="en-US"/>
        </w:rPr>
        <w:t>（一）单位职责</w:t>
      </w:r>
    </w:p>
    <w:p>
      <w:pPr>
        <w:pStyle w:val="2"/>
        <w:spacing w:line="540" w:lineRule="atLeast"/>
        <w:ind w:firstLine="630"/>
        <w:rPr>
          <w:rFonts w:hint="eastAsia" w:ascii="仿宋" w:hAnsi="仿宋" w:eastAsia="仿宋"/>
          <w:color w:val="000000"/>
          <w:kern w:val="2"/>
          <w:sz w:val="32"/>
          <w:highlight w:val="white"/>
        </w:rPr>
      </w:pPr>
      <w:r>
        <w:rPr>
          <w:rFonts w:hint="eastAsia" w:ascii="仿宋" w:hAnsi="仿宋" w:eastAsia="仿宋"/>
          <w:color w:val="000000"/>
          <w:kern w:val="2"/>
          <w:sz w:val="32"/>
          <w:highlight w:val="white"/>
        </w:rPr>
        <w:t>1. 立案庭（诉讼服务中心） 负责登记立案、涉诉信访、导诉接待、材料接转、法律文书送达、档案查询、法律咨询、诉前引导、诉前保全受理及裁决；负责本院民商事案件繁简分流、立案调解；办理适用督促程序、公示催告程序等案件。</w:t>
      </w:r>
    </w:p>
    <w:p>
      <w:pPr>
        <w:pStyle w:val="2"/>
        <w:spacing w:line="540" w:lineRule="atLeast"/>
        <w:ind w:firstLine="630"/>
        <w:rPr>
          <w:rFonts w:hint="eastAsia" w:ascii="仿宋" w:hAnsi="仿宋" w:eastAsia="仿宋"/>
          <w:color w:val="000000"/>
          <w:kern w:val="2"/>
          <w:sz w:val="32"/>
          <w:highlight w:val="white"/>
        </w:rPr>
      </w:pPr>
      <w:r>
        <w:rPr>
          <w:rFonts w:hint="eastAsia" w:ascii="仿宋" w:hAnsi="仿宋" w:eastAsia="仿宋"/>
          <w:color w:val="000000"/>
          <w:kern w:val="2"/>
          <w:sz w:val="32"/>
          <w:highlight w:val="white"/>
        </w:rPr>
        <w:t>2.刑事审判庭 负责审判由本院管辖的刑事公诉和自诉案件；对案件审理中发现的问题，提出司法建议；做好少年犯的教育、感化、挽救工作；办理其他有关事项。</w:t>
      </w:r>
    </w:p>
    <w:p>
      <w:pPr>
        <w:pStyle w:val="2"/>
        <w:spacing w:line="540" w:lineRule="atLeast"/>
        <w:ind w:firstLine="630"/>
        <w:rPr>
          <w:rFonts w:hint="eastAsia" w:ascii="仿宋" w:hAnsi="仿宋" w:eastAsia="仿宋"/>
          <w:color w:val="000000"/>
          <w:kern w:val="2"/>
          <w:sz w:val="32"/>
          <w:highlight w:val="white"/>
        </w:rPr>
      </w:pPr>
      <w:r>
        <w:rPr>
          <w:rFonts w:hint="eastAsia" w:ascii="仿宋" w:hAnsi="仿宋" w:eastAsia="仿宋"/>
          <w:color w:val="000000"/>
          <w:kern w:val="2"/>
          <w:sz w:val="32"/>
          <w:highlight w:val="white"/>
        </w:rPr>
        <w:t>3.民事审判一庭 负责审理本院疑难复杂的民商事案件和企业破产等特殊类型案件；对案件审理中发现的问题，提出司法建议；指导人民法庭的民事审判工作；办理其他有关事项。</w:t>
      </w:r>
    </w:p>
    <w:p>
      <w:pPr>
        <w:pStyle w:val="2"/>
        <w:spacing w:line="540" w:lineRule="atLeast"/>
        <w:ind w:firstLine="630"/>
        <w:rPr>
          <w:rFonts w:hint="eastAsia" w:ascii="仿宋" w:hAnsi="仿宋" w:eastAsia="仿宋"/>
          <w:color w:val="000000"/>
          <w:kern w:val="2"/>
          <w:sz w:val="32"/>
          <w:highlight w:val="white"/>
        </w:rPr>
      </w:pPr>
      <w:r>
        <w:rPr>
          <w:rFonts w:hint="eastAsia" w:ascii="仿宋" w:hAnsi="仿宋" w:eastAsia="仿宋"/>
          <w:color w:val="000000"/>
          <w:kern w:val="2"/>
          <w:sz w:val="32"/>
          <w:highlight w:val="white"/>
        </w:rPr>
        <w:t>4.民事审判二庭 负责审理本院繁案以外的简单民商事案件；负责家事审判工作；对案件审理中发现的问题，提出司法建议；办理其他有关事项。</w:t>
      </w:r>
    </w:p>
    <w:p>
      <w:pPr>
        <w:pStyle w:val="2"/>
        <w:spacing w:line="540" w:lineRule="atLeast"/>
        <w:ind w:firstLine="630"/>
        <w:rPr>
          <w:rFonts w:hint="eastAsia" w:ascii="仿宋" w:hAnsi="仿宋" w:eastAsia="仿宋"/>
          <w:color w:val="000000"/>
          <w:kern w:val="2"/>
          <w:sz w:val="32"/>
          <w:highlight w:val="white"/>
        </w:rPr>
      </w:pPr>
      <w:r>
        <w:rPr>
          <w:rFonts w:hint="eastAsia" w:ascii="仿宋" w:hAnsi="仿宋" w:eastAsia="仿宋"/>
          <w:color w:val="000000"/>
          <w:kern w:val="2"/>
          <w:sz w:val="32"/>
          <w:highlight w:val="white"/>
        </w:rPr>
        <w:t>5.民事审判三庭 负责诉前调解、简案速裁、巡回审判工作；负责诉调对接工作，指导基层人民调解委员会的业务工作。</w:t>
      </w:r>
    </w:p>
    <w:p>
      <w:pPr>
        <w:pStyle w:val="2"/>
        <w:spacing w:line="540" w:lineRule="atLeast"/>
        <w:ind w:firstLine="630"/>
        <w:rPr>
          <w:rFonts w:hint="eastAsia" w:ascii="仿宋" w:hAnsi="仿宋" w:eastAsia="仿宋"/>
          <w:color w:val="000000"/>
          <w:kern w:val="2"/>
          <w:sz w:val="32"/>
          <w:highlight w:val="white"/>
        </w:rPr>
      </w:pPr>
      <w:r>
        <w:rPr>
          <w:rFonts w:hint="eastAsia" w:ascii="仿宋" w:hAnsi="仿宋" w:eastAsia="仿宋"/>
          <w:color w:val="000000"/>
          <w:kern w:val="2"/>
          <w:sz w:val="32"/>
          <w:highlight w:val="white"/>
        </w:rPr>
        <w:t>6.行政审判庭（综合审判庭） 负责审理行政案件；审查并决定非诉行政执行案件；对案件审理中发现的问题，提出司法建议；办理行政赔偿案件及其他有关的赔偿工作事宜；负责审理环境资源相关案件；负责司法救助；办理其他有关事项。</w:t>
      </w:r>
    </w:p>
    <w:p>
      <w:pPr>
        <w:pStyle w:val="2"/>
        <w:spacing w:line="540" w:lineRule="atLeast"/>
        <w:ind w:firstLine="630"/>
        <w:rPr>
          <w:rFonts w:hint="eastAsia" w:ascii="仿宋" w:hAnsi="仿宋" w:eastAsia="仿宋"/>
          <w:color w:val="000000"/>
          <w:kern w:val="2"/>
          <w:sz w:val="32"/>
          <w:highlight w:val="white"/>
        </w:rPr>
      </w:pPr>
      <w:r>
        <w:rPr>
          <w:rFonts w:hint="eastAsia" w:ascii="仿宋" w:hAnsi="仿宋" w:eastAsia="仿宋"/>
          <w:color w:val="000000"/>
          <w:kern w:val="2"/>
          <w:sz w:val="32"/>
          <w:highlight w:val="white"/>
        </w:rPr>
        <w:t>7.执行局 负责民事、商事案件、仲裁案件、刑事附带民事诉讼案件的执行；负责行政机关申请的非诉行政执行案件、刑事罚没案件的执行；负责执行信访工作；办理司法鉴定、评估、拍卖、财产保全实施等工作。</w:t>
      </w:r>
    </w:p>
    <w:p>
      <w:pPr>
        <w:pStyle w:val="2"/>
        <w:spacing w:line="540" w:lineRule="atLeast"/>
        <w:ind w:firstLine="630"/>
        <w:rPr>
          <w:rFonts w:hint="eastAsia" w:ascii="仿宋" w:hAnsi="仿宋" w:eastAsia="仿宋"/>
          <w:color w:val="000000"/>
          <w:kern w:val="2"/>
          <w:sz w:val="32"/>
          <w:highlight w:val="white"/>
        </w:rPr>
      </w:pPr>
      <w:r>
        <w:rPr>
          <w:rFonts w:hint="eastAsia" w:ascii="仿宋" w:hAnsi="仿宋" w:eastAsia="仿宋"/>
          <w:color w:val="000000"/>
          <w:kern w:val="2"/>
          <w:sz w:val="32"/>
          <w:highlight w:val="white"/>
        </w:rPr>
        <w:t>8.政治部（机关党委） 负责本院队伍思想政治教育、内宣及各类培训工作；负责机关党的建设；负责干部管理权限内法院人员的任免调配、考核奖励、工资福利、编制职数等人事管理事项；负责本院部门绩效考核工作；负责表彰奖励工作；负责退休干部管理服务工作；负责人民陪审员管理工作；负责法官、审判辅助人员履职安全保障的日常工作。</w:t>
      </w:r>
    </w:p>
    <w:p>
      <w:pPr>
        <w:pStyle w:val="2"/>
        <w:spacing w:line="540" w:lineRule="atLeast"/>
        <w:ind w:firstLine="630"/>
        <w:rPr>
          <w:rFonts w:hint="eastAsia" w:ascii="仿宋" w:hAnsi="仿宋" w:eastAsia="仿宋"/>
          <w:color w:val="000000"/>
          <w:kern w:val="2"/>
          <w:sz w:val="32"/>
          <w:highlight w:val="white"/>
        </w:rPr>
      </w:pPr>
      <w:r>
        <w:rPr>
          <w:rFonts w:hint="eastAsia" w:ascii="仿宋" w:hAnsi="仿宋" w:eastAsia="仿宋"/>
          <w:color w:val="000000"/>
          <w:kern w:val="2"/>
          <w:sz w:val="32"/>
          <w:highlight w:val="white"/>
        </w:rPr>
        <w:t>9.综合办公室  协助领导组织、协调、处理司法公务；负责文秘、信息、宣传、机要、档案、保密等工作；负责院长批示件和本院重大工作部署的督查督办工作；负责院长办公会议等重要会议的组织安排；负责综合性会议组织工作，起草相关文件；负责新闻发布事项；负责与人大代表和政协委员的联络工作，并督办人大代表建议和政协委员提案。</w:t>
      </w:r>
    </w:p>
    <w:p>
      <w:pPr>
        <w:pStyle w:val="2"/>
        <w:spacing w:line="540" w:lineRule="atLeast"/>
        <w:ind w:firstLine="630"/>
        <w:rPr>
          <w:rFonts w:hint="eastAsia" w:ascii="仿宋" w:hAnsi="仿宋" w:eastAsia="仿宋"/>
          <w:color w:val="000000"/>
          <w:kern w:val="2"/>
          <w:sz w:val="32"/>
          <w:highlight w:val="white"/>
        </w:rPr>
      </w:pPr>
      <w:r>
        <w:rPr>
          <w:rFonts w:hint="eastAsia" w:ascii="仿宋" w:hAnsi="仿宋" w:eastAsia="仿宋"/>
          <w:color w:val="000000"/>
          <w:kern w:val="2"/>
          <w:sz w:val="32"/>
          <w:highlight w:val="white"/>
        </w:rPr>
        <w:t>10.审判管理办公室  负责审理各类申诉复查案件以及对本院案件的审理、执行进行实时监测、分析、统计，组织庭审评查，建立动态监督机制；统一实施审判、执行流程管理；建立、管理法官业绩档案；处理其他审判管理相关工作。负责本院审判委员会的日常事务工作；负责经费预算、管理使用工作；负责本院基本建设工作；负责车辆及固定资产管理使用；负责本院后勤服务保障工作；负责对物业公司的管理和监督。</w:t>
      </w:r>
    </w:p>
    <w:p>
      <w:pPr>
        <w:pStyle w:val="2"/>
        <w:spacing w:line="540" w:lineRule="atLeast"/>
        <w:ind w:firstLine="630"/>
        <w:rPr>
          <w:rFonts w:hint="eastAsia" w:ascii="仿宋" w:hAnsi="仿宋" w:eastAsia="仿宋"/>
          <w:color w:val="000000"/>
          <w:kern w:val="2"/>
          <w:sz w:val="32"/>
          <w:highlight w:val="white"/>
        </w:rPr>
      </w:pPr>
      <w:r>
        <w:rPr>
          <w:rFonts w:hint="eastAsia" w:ascii="仿宋" w:hAnsi="仿宋" w:eastAsia="仿宋"/>
          <w:color w:val="000000"/>
          <w:kern w:val="2"/>
          <w:sz w:val="32"/>
          <w:highlight w:val="white"/>
        </w:rPr>
        <w:t>11.司法警察大队  履行司法警察警务职责，负责警卫、值庭、看管、押解犯罪嫌疑人、被告人、送达法律文书，配合审判庭和执行局有关事项，执行强制措施；维护本院机关秩序；组织法警业务技能培训；办理其他工作事项。</w:t>
      </w:r>
    </w:p>
    <w:p>
      <w:pPr>
        <w:pStyle w:val="2"/>
        <w:spacing w:line="540" w:lineRule="atLeast"/>
        <w:ind w:firstLine="630"/>
        <w:rPr>
          <w:rFonts w:hint="eastAsia" w:ascii="仿宋" w:hAnsi="仿宋" w:eastAsia="仿宋"/>
          <w:color w:val="000000"/>
          <w:kern w:val="2"/>
          <w:sz w:val="32"/>
          <w:highlight w:val="white"/>
        </w:rPr>
      </w:pPr>
      <w:r>
        <w:rPr>
          <w:rFonts w:hint="eastAsia" w:ascii="仿宋" w:hAnsi="仿宋" w:eastAsia="仿宋"/>
          <w:color w:val="000000"/>
          <w:kern w:val="2"/>
          <w:sz w:val="32"/>
          <w:highlight w:val="white"/>
        </w:rPr>
        <w:t>12.南城人民法庭 依法办理本辖区范围的民事、经济纠纷案件、刑事自诉案件等各类案件。办理其他有关工作事项。</w:t>
      </w:r>
    </w:p>
    <w:p>
      <w:pPr>
        <w:pStyle w:val="2"/>
        <w:spacing w:line="540" w:lineRule="atLeast"/>
        <w:ind w:firstLine="630"/>
        <w:rPr>
          <w:rFonts w:hint="eastAsia" w:ascii="仿宋" w:hAnsi="仿宋" w:eastAsia="仿宋"/>
          <w:color w:val="000000"/>
          <w:kern w:val="2"/>
          <w:sz w:val="32"/>
          <w:highlight w:val="white"/>
        </w:rPr>
      </w:pPr>
      <w:r>
        <w:rPr>
          <w:rFonts w:hint="eastAsia" w:ascii="仿宋" w:hAnsi="仿宋" w:eastAsia="仿宋"/>
          <w:color w:val="000000"/>
          <w:kern w:val="2"/>
          <w:sz w:val="32"/>
          <w:highlight w:val="white"/>
        </w:rPr>
        <w:t>13.碧湖人民法庭　依法办理本辖区范围的民事、经济纠纷案件、刑事自诉案件等各类案件。办理其他有关工作事项。</w:t>
      </w:r>
    </w:p>
    <w:p>
      <w:pPr>
        <w:spacing w:line="324" w:lineRule="auto"/>
        <w:ind w:firstLine="594"/>
        <w:rPr>
          <w:rFonts w:hint="default" w:eastAsia="Times New Roman"/>
          <w:b/>
          <w:color w:val="000000"/>
          <w:sz w:val="32"/>
          <w:highlight w:val="white"/>
          <w:lang w:val="en-US"/>
        </w:rPr>
      </w:pPr>
      <w:r>
        <w:rPr>
          <w:rFonts w:hint="eastAsia" w:ascii="楷体" w:hAnsi="楷体" w:eastAsia="楷体"/>
          <w:b/>
          <w:color w:val="000000"/>
          <w:sz w:val="32"/>
          <w:highlight w:val="white"/>
          <w:lang w:val="en-US"/>
        </w:rPr>
        <w:t>（二）机构设置</w:t>
      </w:r>
    </w:p>
    <w:p>
      <w:pPr>
        <w:numPr>
          <w:ilvl w:val="0"/>
          <w:numId w:val="0"/>
        </w:numPr>
        <w:spacing w:line="324" w:lineRule="auto"/>
        <w:ind w:firstLine="640" w:firstLineChars="200"/>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从预算单位构成看，本单位内设：立案庭（诉讼服务中心）、刑事审判庭</w:t>
      </w:r>
      <w:r>
        <w:rPr>
          <w:rFonts w:hint="eastAsia" w:ascii="仿宋" w:hAnsi="仿宋" w:eastAsia="仿宋"/>
          <w:color w:val="000000"/>
          <w:sz w:val="32"/>
          <w:highlight w:val="white"/>
          <w:lang w:val="en-US" w:eastAsia="zh-CN"/>
        </w:rPr>
        <w:t>、</w:t>
      </w:r>
      <w:r>
        <w:rPr>
          <w:rFonts w:hint="eastAsia" w:ascii="仿宋" w:hAnsi="仿宋" w:eastAsia="仿宋"/>
          <w:color w:val="000000"/>
          <w:sz w:val="32"/>
          <w:highlight w:val="white"/>
          <w:lang w:val="en-US"/>
        </w:rPr>
        <w:t>民事审判一庭</w:t>
      </w:r>
      <w:r>
        <w:rPr>
          <w:rFonts w:hint="eastAsia" w:ascii="仿宋" w:hAnsi="仿宋" w:eastAsia="仿宋"/>
          <w:color w:val="000000"/>
          <w:sz w:val="32"/>
          <w:highlight w:val="white"/>
          <w:lang w:val="en-US" w:eastAsia="zh-CN"/>
        </w:rPr>
        <w:t>、</w:t>
      </w:r>
      <w:r>
        <w:rPr>
          <w:rFonts w:hint="eastAsia" w:ascii="仿宋" w:hAnsi="仿宋" w:eastAsia="仿宋"/>
          <w:color w:val="000000"/>
          <w:sz w:val="32"/>
          <w:highlight w:val="white"/>
          <w:lang w:val="en-US"/>
        </w:rPr>
        <w:t>民事审判</w:t>
      </w:r>
      <w:r>
        <w:rPr>
          <w:rFonts w:hint="eastAsia" w:ascii="仿宋" w:hAnsi="仿宋" w:eastAsia="仿宋"/>
          <w:color w:val="000000"/>
          <w:sz w:val="32"/>
          <w:highlight w:val="white"/>
          <w:lang w:val="en-US" w:eastAsia="zh-CN"/>
        </w:rPr>
        <w:t>二</w:t>
      </w:r>
      <w:r>
        <w:rPr>
          <w:rFonts w:hint="eastAsia" w:ascii="仿宋" w:hAnsi="仿宋" w:eastAsia="仿宋"/>
          <w:color w:val="000000"/>
          <w:sz w:val="32"/>
          <w:highlight w:val="white"/>
          <w:lang w:val="en-US"/>
        </w:rPr>
        <w:t>庭</w:t>
      </w:r>
      <w:r>
        <w:rPr>
          <w:rFonts w:hint="eastAsia" w:ascii="仿宋" w:hAnsi="仿宋" w:eastAsia="仿宋"/>
          <w:color w:val="000000"/>
          <w:sz w:val="32"/>
          <w:highlight w:val="white"/>
          <w:lang w:val="en-US" w:eastAsia="zh-CN"/>
        </w:rPr>
        <w:t>、</w:t>
      </w:r>
      <w:r>
        <w:rPr>
          <w:rFonts w:hint="eastAsia" w:ascii="仿宋" w:hAnsi="仿宋" w:eastAsia="仿宋"/>
          <w:color w:val="000000"/>
          <w:sz w:val="32"/>
          <w:highlight w:val="white"/>
          <w:lang w:val="en-US"/>
        </w:rPr>
        <w:t>民事审判</w:t>
      </w:r>
      <w:r>
        <w:rPr>
          <w:rFonts w:hint="eastAsia" w:ascii="仿宋" w:hAnsi="仿宋" w:eastAsia="仿宋"/>
          <w:color w:val="000000"/>
          <w:sz w:val="32"/>
          <w:highlight w:val="white"/>
          <w:lang w:val="en-US" w:eastAsia="zh-CN"/>
        </w:rPr>
        <w:t>三</w:t>
      </w:r>
      <w:r>
        <w:rPr>
          <w:rFonts w:hint="eastAsia" w:ascii="仿宋" w:hAnsi="仿宋" w:eastAsia="仿宋"/>
          <w:color w:val="000000"/>
          <w:sz w:val="32"/>
          <w:highlight w:val="white"/>
          <w:lang w:val="en-US"/>
        </w:rPr>
        <w:t>庭</w:t>
      </w:r>
      <w:r>
        <w:rPr>
          <w:rFonts w:hint="eastAsia" w:ascii="仿宋" w:hAnsi="仿宋" w:eastAsia="仿宋"/>
          <w:color w:val="000000"/>
          <w:sz w:val="32"/>
          <w:highlight w:val="white"/>
          <w:lang w:val="en-US" w:eastAsia="zh-CN"/>
        </w:rPr>
        <w:t>、</w:t>
      </w:r>
      <w:r>
        <w:rPr>
          <w:rFonts w:hint="eastAsia" w:ascii="仿宋" w:hAnsi="仿宋" w:eastAsia="仿宋"/>
          <w:color w:val="000000"/>
          <w:sz w:val="32"/>
          <w:highlight w:val="white"/>
          <w:lang w:val="en-US"/>
        </w:rPr>
        <w:t>行政审判庭（综合审判庭）</w:t>
      </w:r>
      <w:r>
        <w:rPr>
          <w:rFonts w:hint="eastAsia" w:ascii="仿宋" w:hAnsi="仿宋" w:eastAsia="仿宋"/>
          <w:color w:val="000000"/>
          <w:sz w:val="32"/>
          <w:highlight w:val="white"/>
          <w:lang w:val="en-US" w:eastAsia="zh-CN"/>
        </w:rPr>
        <w:t>、</w:t>
      </w:r>
      <w:r>
        <w:rPr>
          <w:rFonts w:hint="eastAsia" w:ascii="仿宋" w:hAnsi="仿宋" w:eastAsia="仿宋"/>
          <w:color w:val="000000"/>
          <w:sz w:val="32"/>
          <w:highlight w:val="white"/>
          <w:lang w:val="en-US"/>
        </w:rPr>
        <w:t>执行局</w:t>
      </w:r>
      <w:r>
        <w:rPr>
          <w:rFonts w:hint="eastAsia" w:ascii="仿宋" w:hAnsi="仿宋" w:eastAsia="仿宋"/>
          <w:color w:val="000000"/>
          <w:sz w:val="32"/>
          <w:highlight w:val="white"/>
          <w:lang w:val="en-US" w:eastAsia="zh-CN"/>
        </w:rPr>
        <w:t>、</w:t>
      </w:r>
      <w:r>
        <w:rPr>
          <w:rFonts w:hint="eastAsia" w:ascii="仿宋" w:hAnsi="仿宋" w:eastAsia="仿宋"/>
          <w:color w:val="000000"/>
          <w:sz w:val="32"/>
          <w:highlight w:val="white"/>
          <w:lang w:val="en-US"/>
        </w:rPr>
        <w:t>政治部（机关党委）</w:t>
      </w:r>
      <w:r>
        <w:rPr>
          <w:rFonts w:hint="eastAsia" w:ascii="仿宋" w:hAnsi="仿宋" w:eastAsia="仿宋"/>
          <w:color w:val="000000"/>
          <w:sz w:val="32"/>
          <w:highlight w:val="white"/>
          <w:lang w:val="en-US" w:eastAsia="zh-CN"/>
        </w:rPr>
        <w:t>、</w:t>
      </w:r>
      <w:r>
        <w:rPr>
          <w:rFonts w:hint="eastAsia" w:ascii="仿宋" w:hAnsi="仿宋" w:eastAsia="仿宋"/>
          <w:color w:val="000000"/>
          <w:sz w:val="32"/>
          <w:highlight w:val="white"/>
          <w:lang w:val="en-US"/>
        </w:rPr>
        <w:t>综合办公室</w:t>
      </w:r>
      <w:r>
        <w:rPr>
          <w:rFonts w:hint="eastAsia" w:ascii="仿宋" w:hAnsi="仿宋" w:eastAsia="仿宋"/>
          <w:color w:val="000000"/>
          <w:sz w:val="32"/>
          <w:highlight w:val="white"/>
          <w:lang w:val="en-US" w:eastAsia="zh-CN"/>
        </w:rPr>
        <w:t>、</w:t>
      </w:r>
      <w:r>
        <w:rPr>
          <w:rFonts w:hint="eastAsia" w:ascii="仿宋" w:hAnsi="仿宋" w:eastAsia="仿宋"/>
          <w:color w:val="000000"/>
          <w:sz w:val="32"/>
          <w:highlight w:val="white"/>
          <w:lang w:val="en-US"/>
        </w:rPr>
        <w:t>审判管理办公室</w:t>
      </w:r>
      <w:r>
        <w:rPr>
          <w:rFonts w:hint="eastAsia" w:ascii="仿宋" w:hAnsi="仿宋" w:eastAsia="仿宋"/>
          <w:color w:val="000000"/>
          <w:sz w:val="32"/>
          <w:highlight w:val="white"/>
          <w:lang w:val="en-US" w:eastAsia="zh-CN"/>
        </w:rPr>
        <w:t>、</w:t>
      </w:r>
      <w:r>
        <w:rPr>
          <w:rFonts w:hint="eastAsia" w:ascii="仿宋" w:hAnsi="仿宋" w:eastAsia="仿宋"/>
          <w:color w:val="000000"/>
          <w:sz w:val="32"/>
          <w:highlight w:val="white"/>
          <w:lang w:val="en-US"/>
        </w:rPr>
        <w:t>司法警察大队</w:t>
      </w:r>
      <w:r>
        <w:rPr>
          <w:rFonts w:hint="eastAsia" w:ascii="仿宋" w:hAnsi="仿宋" w:eastAsia="仿宋"/>
          <w:color w:val="000000"/>
          <w:sz w:val="32"/>
          <w:highlight w:val="white"/>
          <w:lang w:val="en-US" w:eastAsia="zh-CN"/>
        </w:rPr>
        <w:t>、</w:t>
      </w:r>
      <w:r>
        <w:rPr>
          <w:rFonts w:hint="eastAsia" w:ascii="仿宋" w:hAnsi="仿宋" w:eastAsia="仿宋"/>
          <w:color w:val="000000"/>
          <w:sz w:val="32"/>
          <w:highlight w:val="white"/>
          <w:lang w:val="en-US"/>
        </w:rPr>
        <w:t>南城人民法庭</w:t>
      </w:r>
      <w:r>
        <w:rPr>
          <w:rFonts w:hint="eastAsia" w:ascii="仿宋" w:hAnsi="仿宋" w:eastAsia="仿宋"/>
          <w:color w:val="000000"/>
          <w:sz w:val="32"/>
          <w:highlight w:val="white"/>
          <w:lang w:val="en-US" w:eastAsia="zh-CN"/>
        </w:rPr>
        <w:t>、</w:t>
      </w:r>
      <w:r>
        <w:rPr>
          <w:rFonts w:hint="eastAsia" w:ascii="仿宋" w:hAnsi="仿宋" w:eastAsia="仿宋"/>
          <w:color w:val="000000"/>
          <w:sz w:val="32"/>
          <w:highlight w:val="white"/>
          <w:lang w:val="en-US"/>
        </w:rPr>
        <w:t>碧湖人民法庭</w:t>
      </w:r>
      <w:r>
        <w:rPr>
          <w:rFonts w:hint="eastAsia" w:ascii="仿宋" w:hAnsi="仿宋" w:eastAsia="仿宋"/>
          <w:color w:val="000000"/>
          <w:sz w:val="32"/>
          <w:highlight w:val="white"/>
          <w:lang w:val="en-US" w:eastAsia="zh-CN"/>
        </w:rPr>
        <w:t>。</w:t>
      </w:r>
    </w:p>
    <w:p>
      <w:pPr>
        <w:spacing w:line="324" w:lineRule="auto"/>
        <w:ind w:firstLine="600"/>
        <w:rPr>
          <w:rFonts w:hint="eastAsia" w:ascii="黑体" w:hAnsi="黑体" w:eastAsia="黑体"/>
          <w:b/>
          <w:color w:val="000000"/>
          <w:sz w:val="32"/>
          <w:highlight w:val="white"/>
          <w:lang w:val="en-US"/>
        </w:rPr>
      </w:pPr>
      <w:r>
        <w:rPr>
          <w:rFonts w:hint="eastAsia" w:ascii="黑体" w:hAnsi="黑体" w:eastAsia="黑体"/>
          <w:b/>
          <w:color w:val="000000"/>
          <w:sz w:val="32"/>
          <w:highlight w:val="white"/>
          <w:lang w:val="en-US"/>
        </w:rPr>
        <w:t>二、2021年度单位决算公开表</w:t>
      </w:r>
    </w:p>
    <w:p>
      <w:pPr>
        <w:spacing w:line="324" w:lineRule="auto"/>
        <w:ind w:firstLine="594"/>
        <w:rPr>
          <w:rFonts w:hint="default" w:eastAsia="Times New Roman"/>
          <w:color w:val="000000"/>
          <w:sz w:val="32"/>
          <w:highlight w:val="white"/>
          <w:lang w:val="en-US"/>
        </w:rPr>
      </w:pPr>
      <w:r>
        <w:rPr>
          <w:rFonts w:hint="eastAsia" w:ascii="仿宋" w:hAnsi="仿宋" w:eastAsia="仿宋"/>
          <w:color w:val="000000"/>
          <w:sz w:val="32"/>
          <w:highlight w:val="white"/>
          <w:lang w:val="en-US"/>
        </w:rPr>
        <w:t>详见附表</w:t>
      </w:r>
      <w:r>
        <w:rPr>
          <w:rFonts w:hint="eastAsia" w:ascii="仿宋_GB2312" w:hAnsi="仿宋_GB2312" w:eastAsia="仿宋_GB2312"/>
          <w:color w:val="000000"/>
          <w:sz w:val="32"/>
          <w:highlight w:val="white"/>
          <w:lang w:val="en-US"/>
        </w:rPr>
        <w:t>。</w:t>
      </w:r>
    </w:p>
    <w:p>
      <w:pPr>
        <w:spacing w:line="324" w:lineRule="auto"/>
        <w:ind w:firstLine="594"/>
        <w:rPr>
          <w:rFonts w:hint="default" w:eastAsia="Times New Roman"/>
          <w:b/>
          <w:color w:val="000000"/>
          <w:sz w:val="32"/>
          <w:highlight w:val="white"/>
          <w:lang w:val="en-US"/>
        </w:rPr>
      </w:pPr>
      <w:r>
        <w:rPr>
          <w:rFonts w:hint="eastAsia" w:ascii="黑体" w:hAnsi="黑体" w:eastAsia="黑体"/>
          <w:b/>
          <w:color w:val="auto"/>
          <w:sz w:val="32"/>
          <w:highlight w:val="white"/>
          <w:lang w:val="zh-CN"/>
        </w:rPr>
        <w:t>三、</w:t>
      </w:r>
      <w:r>
        <w:rPr>
          <w:rFonts w:hint="eastAsia" w:ascii="黑体" w:hAnsi="黑体" w:eastAsia="黑体"/>
          <w:b/>
          <w:color w:val="000000"/>
          <w:sz w:val="32"/>
          <w:highlight w:val="white"/>
          <w:lang w:val="en-US"/>
        </w:rPr>
        <w:t>2021年度单位决算情况说明</w:t>
      </w:r>
    </w:p>
    <w:p>
      <w:pPr>
        <w:spacing w:line="324" w:lineRule="auto"/>
        <w:ind w:firstLine="594"/>
        <w:rPr>
          <w:rFonts w:hint="default" w:eastAsia="Times New Roman"/>
          <w:b/>
          <w:color w:val="000000"/>
          <w:sz w:val="32"/>
          <w:highlight w:val="white"/>
          <w:lang w:val="en-US"/>
        </w:rPr>
      </w:pPr>
      <w:r>
        <w:rPr>
          <w:rFonts w:hint="eastAsia" w:ascii="楷体" w:hAnsi="楷体" w:eastAsia="楷体"/>
          <w:b/>
          <w:color w:val="000000"/>
          <w:sz w:val="32"/>
          <w:highlight w:val="white"/>
          <w:lang w:val="en-US"/>
        </w:rPr>
        <w:t>（一）收入支出决算总体情况说明</w:t>
      </w:r>
    </w:p>
    <w:p>
      <w:pPr>
        <w:pStyle w:val="2"/>
        <w:spacing w:line="324" w:lineRule="auto"/>
        <w:ind w:firstLine="600"/>
        <w:rPr>
          <w:rFonts w:hint="eastAsia" w:ascii="仿宋_GB2312" w:hAnsi="仿宋_GB2312" w:eastAsia="仿宋_GB2312"/>
          <w:color w:val="auto"/>
          <w:sz w:val="32"/>
          <w:shd w:val="clear" w:color="auto" w:fill="FFFFFF"/>
        </w:rPr>
      </w:pPr>
      <w:r>
        <w:rPr>
          <w:rFonts w:hint="eastAsia" w:ascii="仿宋" w:hAnsi="仿宋" w:eastAsia="仿宋"/>
          <w:color w:val="000000"/>
          <w:sz w:val="32"/>
          <w:highlight w:val="white"/>
        </w:rPr>
        <w:t>2021年度收入总计6,081.82万元，支出总计6,081.82万元,与2020年度相比，各减少272.13万元，下降4.28%。主要原因是：</w:t>
      </w:r>
      <w:r>
        <w:rPr>
          <w:rFonts w:hint="eastAsia" w:ascii="仿宋" w:hAnsi="仿宋" w:eastAsia="仿宋"/>
          <w:color w:val="000000"/>
          <w:kern w:val="2"/>
          <w:sz w:val="32"/>
          <w:highlight w:val="white"/>
        </w:rPr>
        <w:t>2021年度工程款支出减少。</w:t>
      </w:r>
    </w:p>
    <w:p>
      <w:pPr>
        <w:spacing w:line="324" w:lineRule="auto"/>
        <w:ind w:firstLine="594"/>
        <w:rPr>
          <w:rFonts w:hint="default" w:eastAsia="Times New Roman"/>
          <w:b/>
          <w:color w:val="000000"/>
          <w:sz w:val="32"/>
          <w:highlight w:val="white"/>
          <w:lang w:val="en-US"/>
        </w:rPr>
      </w:pPr>
      <w:r>
        <w:rPr>
          <w:rFonts w:hint="eastAsia" w:ascii="楷体" w:hAnsi="楷体" w:eastAsia="楷体"/>
          <w:b/>
          <w:color w:val="000000"/>
          <w:sz w:val="32"/>
          <w:highlight w:val="white"/>
          <w:lang w:val="en-US"/>
        </w:rPr>
        <w:t>（二）收入决算情况说明</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本年收入合计5,993.12万元；包括财政拨款收入5,993.12万元（其中，一般公共预算5,993.12万元，政府性基金预算0万元,国有资本经营预算0万元），占收入合计100%；上级补助收入0万元，占收入合计0%；事业收入0万元，占收入合计0%；经营收入0万元，占收入合计0%；附属单位上缴收入0万元，占收入合计0%；其他收入0万元，占收入合计0%。</w:t>
      </w:r>
    </w:p>
    <w:p>
      <w:pPr>
        <w:spacing w:line="324" w:lineRule="auto"/>
        <w:ind w:firstLine="594"/>
        <w:rPr>
          <w:rFonts w:hint="default" w:eastAsia="Times New Roman"/>
          <w:b/>
          <w:color w:val="000000"/>
          <w:sz w:val="32"/>
          <w:highlight w:val="white"/>
          <w:lang w:val="en-US"/>
        </w:rPr>
      </w:pPr>
      <w:r>
        <w:rPr>
          <w:rFonts w:hint="eastAsia" w:ascii="楷体" w:hAnsi="楷体" w:eastAsia="楷体"/>
          <w:b/>
          <w:color w:val="000000"/>
          <w:sz w:val="32"/>
          <w:highlight w:val="white"/>
          <w:lang w:val="en-US"/>
        </w:rPr>
        <w:t>（三）支出决算情况说明</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本年支出合计6,081.82万元，其中基本支出5,093.71万元，占83.75%；项目支出988.11万元，占16.25%；上缴上级支出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万元，占0%；经营支出0万元，占0%；对附属单位补助支出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w:t>
      </w:r>
    </w:p>
    <w:p>
      <w:pPr>
        <w:spacing w:line="324" w:lineRule="auto"/>
        <w:ind w:firstLine="594"/>
        <w:rPr>
          <w:rFonts w:hint="eastAsia" w:ascii="楷体" w:hAnsi="楷体" w:eastAsia="楷体"/>
          <w:b/>
          <w:color w:val="000000"/>
          <w:sz w:val="32"/>
          <w:highlight w:val="white"/>
          <w:lang w:val="en-US"/>
        </w:rPr>
      </w:pPr>
      <w:r>
        <w:rPr>
          <w:rFonts w:hint="eastAsia" w:ascii="楷体" w:hAnsi="楷体" w:eastAsia="楷体"/>
          <w:b/>
          <w:color w:val="000000"/>
          <w:sz w:val="32"/>
          <w:highlight w:val="white"/>
          <w:lang w:val="en-US"/>
        </w:rPr>
        <w:t>（四）财政拨款收入支出决算总体情况说明</w:t>
      </w:r>
    </w:p>
    <w:p>
      <w:pPr>
        <w:spacing w:line="324" w:lineRule="auto"/>
        <w:ind w:firstLine="594"/>
        <w:rPr>
          <w:rFonts w:hint="eastAsia" w:ascii="仿宋" w:hAnsi="仿宋" w:eastAsia="仿宋"/>
          <w:b/>
          <w:color w:val="000000"/>
          <w:sz w:val="32"/>
          <w:highlight w:val="white"/>
          <w:lang w:val="en-US"/>
        </w:rPr>
      </w:pPr>
      <w:r>
        <w:rPr>
          <w:rFonts w:hint="eastAsia" w:ascii="仿宋" w:hAnsi="仿宋" w:eastAsia="仿宋"/>
          <w:color w:val="000000"/>
          <w:sz w:val="32"/>
          <w:highlight w:val="white"/>
          <w:lang w:val="en-US"/>
        </w:rPr>
        <w:t>2021年度财政拨款收入总计6,081.82万元，支出总计6,081.82万元，与2020年相比，各减少</w:t>
      </w:r>
      <w:r>
        <w:rPr>
          <w:rFonts w:hint="eastAsia" w:ascii="仿宋" w:hAnsi="仿宋" w:eastAsia="仿宋"/>
          <w:color w:val="000000"/>
          <w:sz w:val="32"/>
          <w:highlight w:val="white"/>
          <w:lang w:val="en-US" w:eastAsia="zh-CN"/>
        </w:rPr>
        <w:t>272.13</w:t>
      </w:r>
      <w:r>
        <w:rPr>
          <w:rFonts w:hint="eastAsia" w:ascii="仿宋" w:hAnsi="仿宋" w:eastAsia="仿宋"/>
          <w:color w:val="000000"/>
          <w:sz w:val="32"/>
          <w:highlight w:val="white"/>
          <w:lang w:val="en-US"/>
        </w:rPr>
        <w:t>万元，下降</w:t>
      </w:r>
      <w:r>
        <w:rPr>
          <w:rFonts w:hint="eastAsia" w:ascii="仿宋" w:hAnsi="仿宋" w:eastAsia="仿宋"/>
          <w:color w:val="000000"/>
          <w:sz w:val="32"/>
          <w:highlight w:val="white"/>
          <w:lang w:val="en-US" w:eastAsia="zh-CN"/>
        </w:rPr>
        <w:t>4.28</w:t>
      </w:r>
      <w:r>
        <w:rPr>
          <w:rFonts w:hint="eastAsia" w:ascii="仿宋" w:hAnsi="仿宋" w:eastAsia="仿宋"/>
          <w:color w:val="000000"/>
          <w:sz w:val="32"/>
          <w:highlight w:val="white"/>
          <w:lang w:val="en-US"/>
        </w:rPr>
        <w:t>%。主要原因是</w:t>
      </w:r>
      <w:r>
        <w:rPr>
          <w:rFonts w:hint="eastAsia" w:ascii="仿宋" w:hAnsi="仿宋" w:eastAsia="仿宋"/>
          <w:color w:val="000000"/>
          <w:sz w:val="32"/>
          <w:highlight w:val="white"/>
        </w:rPr>
        <w:t>2021年度工程款支出减少</w:t>
      </w:r>
      <w:r>
        <w:rPr>
          <w:rFonts w:hint="eastAsia" w:ascii="仿宋" w:hAnsi="仿宋" w:eastAsia="仿宋"/>
          <w:color w:val="auto"/>
          <w:sz w:val="32"/>
          <w:highlight w:val="white"/>
          <w:lang w:val="en-US"/>
        </w:rPr>
        <w:t>；</w:t>
      </w:r>
      <w:r>
        <w:rPr>
          <w:rFonts w:hint="eastAsia" w:ascii="仿宋" w:hAnsi="仿宋" w:eastAsia="仿宋"/>
          <w:color w:val="000000"/>
          <w:sz w:val="32"/>
          <w:highlight w:val="white"/>
          <w:lang w:val="en-US"/>
        </w:rPr>
        <w:t>财政拨款支出年初预算数</w:t>
      </w:r>
      <w:r>
        <w:rPr>
          <w:rFonts w:hint="eastAsia" w:ascii="仿宋" w:hAnsi="仿宋" w:eastAsia="仿宋"/>
          <w:color w:val="000000"/>
          <w:sz w:val="32"/>
          <w:highlight w:val="white"/>
          <w:lang w:val="en-US" w:eastAsia="zh-CN"/>
        </w:rPr>
        <w:t>5557</w:t>
      </w:r>
      <w:r>
        <w:rPr>
          <w:rFonts w:hint="eastAsia" w:ascii="仿宋" w:hAnsi="仿宋" w:eastAsia="仿宋"/>
          <w:color w:val="000000"/>
          <w:sz w:val="32"/>
          <w:highlight w:val="white"/>
          <w:lang w:val="en-US"/>
        </w:rPr>
        <w:t>万元，</w:t>
      </w:r>
      <w:r>
        <w:rPr>
          <w:rFonts w:hint="eastAsia" w:ascii="仿宋" w:hAnsi="仿宋" w:eastAsia="仿宋"/>
          <w:color w:val="auto"/>
          <w:sz w:val="32"/>
          <w:highlight w:val="white"/>
          <w:lang w:val="en-US"/>
        </w:rPr>
        <w:t>完成年初预算的</w:t>
      </w:r>
      <w:r>
        <w:rPr>
          <w:rFonts w:hint="eastAsia" w:ascii="仿宋" w:hAnsi="仿宋" w:eastAsia="仿宋"/>
          <w:color w:val="000000"/>
          <w:sz w:val="32"/>
          <w:highlight w:val="white"/>
          <w:lang w:val="en-US" w:eastAsia="zh-CN"/>
        </w:rPr>
        <w:t>109.44</w:t>
      </w:r>
      <w:r>
        <w:rPr>
          <w:rFonts w:hint="eastAsia" w:ascii="仿宋" w:hAnsi="仿宋" w:eastAsia="仿宋"/>
          <w:color w:val="000000"/>
          <w:sz w:val="32"/>
          <w:highlight w:val="white"/>
          <w:lang w:val="en-US"/>
        </w:rPr>
        <w:t>%</w:t>
      </w:r>
      <w:r>
        <w:rPr>
          <w:rFonts w:hint="eastAsia" w:ascii="仿宋" w:hAnsi="仿宋" w:eastAsia="仿宋"/>
          <w:color w:val="auto"/>
          <w:sz w:val="32"/>
          <w:highlight w:val="white"/>
          <w:lang w:val="en-US"/>
        </w:rPr>
        <w:t>，</w:t>
      </w:r>
      <w:r>
        <w:rPr>
          <w:rFonts w:hint="eastAsia" w:ascii="仿宋" w:hAnsi="仿宋" w:eastAsia="仿宋"/>
          <w:color w:val="000000"/>
          <w:sz w:val="32"/>
          <w:highlight w:val="white"/>
          <w:lang w:val="en-US"/>
        </w:rPr>
        <w:t>主要原因是</w:t>
      </w:r>
      <w:r>
        <w:rPr>
          <w:rFonts w:hint="eastAsia" w:ascii="仿宋" w:hAnsi="仿宋" w:eastAsia="仿宋"/>
          <w:color w:val="000000"/>
          <w:sz w:val="32"/>
          <w:highlight w:val="white"/>
        </w:rPr>
        <w:t>上年结转资金在本年度使用</w:t>
      </w:r>
      <w:r>
        <w:rPr>
          <w:rFonts w:hint="eastAsia" w:ascii="仿宋" w:hAnsi="仿宋" w:eastAsia="仿宋"/>
          <w:color w:val="000000"/>
          <w:sz w:val="32"/>
          <w:highlight w:val="white"/>
          <w:lang w:eastAsia="zh-CN"/>
        </w:rPr>
        <w:t>以及人员类支出增加</w:t>
      </w:r>
      <w:r>
        <w:rPr>
          <w:rFonts w:hint="eastAsia" w:ascii="仿宋" w:hAnsi="仿宋" w:eastAsia="仿宋"/>
          <w:color w:val="auto"/>
          <w:sz w:val="32"/>
          <w:highlight w:val="white"/>
          <w:lang w:val="en-US"/>
        </w:rPr>
        <w:t>。</w:t>
      </w:r>
    </w:p>
    <w:p>
      <w:pPr>
        <w:spacing w:line="324" w:lineRule="auto"/>
        <w:ind w:firstLine="594"/>
        <w:rPr>
          <w:rFonts w:hint="default" w:eastAsia="Times New Roman"/>
          <w:b/>
          <w:color w:val="000000"/>
          <w:sz w:val="32"/>
          <w:highlight w:val="white"/>
          <w:lang w:val="en-US"/>
        </w:rPr>
      </w:pPr>
      <w:r>
        <w:rPr>
          <w:rFonts w:hint="eastAsia" w:ascii="楷体" w:hAnsi="楷体" w:eastAsia="楷体"/>
          <w:b/>
          <w:color w:val="000000"/>
          <w:sz w:val="32"/>
          <w:highlight w:val="white"/>
          <w:lang w:val="en-US"/>
        </w:rPr>
        <w:t>（五）一般公共预算财政拨款支出决算情况说明</w:t>
      </w:r>
    </w:p>
    <w:p>
      <w:pPr>
        <w:spacing w:line="324" w:lineRule="auto"/>
        <w:ind w:firstLine="606"/>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1.一般公共预算财政拨款支出决算总体情况。</w:t>
      </w:r>
    </w:p>
    <w:p>
      <w:pPr>
        <w:pStyle w:val="2"/>
        <w:spacing w:line="324" w:lineRule="auto"/>
        <w:ind w:firstLine="600"/>
        <w:rPr>
          <w:rFonts w:hint="eastAsia" w:ascii="仿宋" w:hAnsi="仿宋" w:eastAsia="仿宋"/>
          <w:color w:val="000000"/>
          <w:sz w:val="32"/>
          <w:highlight w:val="white"/>
        </w:rPr>
      </w:pPr>
      <w:r>
        <w:rPr>
          <w:rFonts w:hint="eastAsia" w:ascii="仿宋" w:hAnsi="仿宋" w:eastAsia="仿宋"/>
          <w:color w:val="000000"/>
          <w:sz w:val="32"/>
          <w:highlight w:val="white"/>
        </w:rPr>
        <w:t>2021年度一般公共预算财政拨款支出6,081.82万元，占本年支出合计的100%。与2020年相比，一般公共预算财政拨款支出减少183.21万元，下降2.92%。主要原因是：</w:t>
      </w:r>
      <w:r>
        <w:rPr>
          <w:rFonts w:hint="eastAsia" w:ascii="仿宋" w:hAnsi="仿宋" w:eastAsia="仿宋"/>
          <w:color w:val="000000"/>
          <w:kern w:val="2"/>
          <w:sz w:val="32"/>
          <w:highlight w:val="white"/>
        </w:rPr>
        <w:t>基建类项目资金减少。</w:t>
      </w:r>
    </w:p>
    <w:p>
      <w:pPr>
        <w:spacing w:line="324" w:lineRule="auto"/>
        <w:ind w:firstLine="606"/>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2.一般公共预算财政拨款支出决算结构情况。</w:t>
      </w:r>
    </w:p>
    <w:p>
      <w:pPr>
        <w:spacing w:line="324" w:lineRule="auto"/>
        <w:ind w:firstLine="606"/>
        <w:rPr>
          <w:rFonts w:hint="eastAsia" w:ascii="仿宋" w:hAnsi="仿宋" w:eastAsia="仿宋"/>
          <w:b/>
          <w:color w:val="000000"/>
          <w:sz w:val="32"/>
          <w:highlight w:val="white"/>
          <w:lang w:val="en-US"/>
        </w:rPr>
      </w:pPr>
      <w:r>
        <w:rPr>
          <w:rFonts w:hint="eastAsia" w:ascii="仿宋" w:hAnsi="仿宋" w:eastAsia="仿宋"/>
          <w:color w:val="000000"/>
          <w:sz w:val="32"/>
          <w:highlight w:val="white"/>
          <w:lang w:val="en-US"/>
        </w:rPr>
        <w:t>2021年度一般公共预算财政拨款支出6,081.82万元，主要用于以下方面：一般公共服务（类）支出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万元，占0%；国防（类）支出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万元,占0%；公共安全（类）支出</w:t>
      </w:r>
      <w:r>
        <w:rPr>
          <w:rFonts w:hint="eastAsia" w:ascii="仿宋" w:hAnsi="仿宋" w:eastAsia="仿宋"/>
          <w:color w:val="auto"/>
          <w:sz w:val="32"/>
          <w:highlight w:val="white"/>
          <w:lang w:val="zh-CN"/>
        </w:rPr>
        <w:t>5,084.12</w:t>
      </w:r>
      <w:r>
        <w:rPr>
          <w:rFonts w:hint="eastAsia" w:ascii="仿宋" w:hAnsi="仿宋" w:eastAsia="仿宋"/>
          <w:color w:val="000000"/>
          <w:sz w:val="32"/>
          <w:highlight w:val="white"/>
          <w:lang w:val="en-US"/>
        </w:rPr>
        <w:t>万元,占83.6%；教育（类）支出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万元,占0%；科学技术（类）支出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万元,占0%；文化旅游体育与传媒（类）支出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万元,占0%；社会保障和就业（类）支出</w:t>
      </w:r>
      <w:r>
        <w:rPr>
          <w:rFonts w:hint="eastAsia" w:ascii="仿宋" w:hAnsi="仿宋" w:eastAsia="仿宋"/>
          <w:color w:val="auto"/>
          <w:sz w:val="32"/>
          <w:highlight w:val="white"/>
          <w:lang w:val="zh-CN"/>
        </w:rPr>
        <w:t>445.96</w:t>
      </w:r>
      <w:r>
        <w:rPr>
          <w:rFonts w:hint="eastAsia" w:ascii="仿宋" w:hAnsi="仿宋" w:eastAsia="仿宋"/>
          <w:color w:val="000000"/>
          <w:sz w:val="32"/>
          <w:highlight w:val="white"/>
          <w:lang w:val="en-US"/>
        </w:rPr>
        <w:t>万元,占7.33%；卫生健康（类）支出</w:t>
      </w:r>
      <w:r>
        <w:rPr>
          <w:rFonts w:hint="eastAsia" w:ascii="仿宋" w:hAnsi="仿宋" w:eastAsia="仿宋"/>
          <w:color w:val="auto"/>
          <w:sz w:val="32"/>
          <w:highlight w:val="white"/>
          <w:lang w:val="zh-CN"/>
        </w:rPr>
        <w:t>233.47</w:t>
      </w:r>
      <w:r>
        <w:rPr>
          <w:rFonts w:hint="eastAsia" w:ascii="仿宋" w:hAnsi="仿宋" w:eastAsia="仿宋"/>
          <w:color w:val="000000"/>
          <w:sz w:val="32"/>
          <w:highlight w:val="white"/>
          <w:lang w:val="en-US"/>
        </w:rPr>
        <w:t>万元,占3.84%；节能环保（类）支出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万元,占0%；城乡社区（类）支出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万元,占0%；农林水（类）支出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万元,占0%；交通运输（类）支出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万元,占0%；资源勘探工业信息等（类）支出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万元,占0%；商业服务业等（类）支出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万元,占0%；金融（类）支出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万元,占0%；援助其他地区（类）支出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万元,占0%；自然资源海洋气象等（类）支出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万元,占0%；住房保障（类）支出</w:t>
      </w:r>
      <w:r>
        <w:rPr>
          <w:rFonts w:hint="eastAsia" w:ascii="仿宋" w:hAnsi="仿宋" w:eastAsia="仿宋"/>
          <w:color w:val="auto"/>
          <w:sz w:val="32"/>
          <w:highlight w:val="white"/>
          <w:lang w:val="zh-CN"/>
        </w:rPr>
        <w:t>318.27</w:t>
      </w:r>
      <w:r>
        <w:rPr>
          <w:rFonts w:hint="eastAsia" w:ascii="仿宋" w:hAnsi="仿宋" w:eastAsia="仿宋"/>
          <w:color w:val="000000"/>
          <w:sz w:val="32"/>
          <w:highlight w:val="white"/>
          <w:lang w:val="en-US"/>
        </w:rPr>
        <w:t>万元,占5.23%；粮油物资储备（类）支出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万元,占0%；灾害防治及应急管理（类）支出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万元,占0%；其他（类）支出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万元,占0%；债务还本（类）支出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万元,占0%；债务付息（类）支出</w:t>
      </w:r>
      <w:r>
        <w:rPr>
          <w:rFonts w:hint="eastAsia" w:ascii="仿宋" w:hAnsi="仿宋" w:eastAsia="仿宋"/>
          <w:color w:val="auto"/>
          <w:sz w:val="32"/>
          <w:highlight w:val="white"/>
          <w:lang w:val="zh-CN"/>
        </w:rPr>
        <w:t>0</w:t>
      </w:r>
      <w:r>
        <w:rPr>
          <w:rFonts w:hint="eastAsia" w:ascii="仿宋" w:hAnsi="仿宋" w:eastAsia="仿宋"/>
          <w:color w:val="000000"/>
          <w:sz w:val="32"/>
          <w:highlight w:val="white"/>
          <w:lang w:val="en-US"/>
        </w:rPr>
        <w:t>万元,占0%。</w:t>
      </w:r>
    </w:p>
    <w:p>
      <w:pPr>
        <w:spacing w:line="324" w:lineRule="auto"/>
        <w:ind w:firstLine="606"/>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3.一般公共预算财政拨款支出决算具体情况。</w:t>
      </w:r>
    </w:p>
    <w:p>
      <w:pPr>
        <w:spacing w:line="324" w:lineRule="auto"/>
        <w:ind w:firstLine="594"/>
        <w:rPr>
          <w:rFonts w:hint="eastAsia" w:ascii="仿宋" w:hAnsi="仿宋" w:eastAsia="仿宋"/>
          <w:color w:val="FF0000"/>
          <w:sz w:val="32"/>
          <w:highlight w:val="white"/>
          <w:lang w:val="en-US"/>
        </w:rPr>
      </w:pPr>
      <w:r>
        <w:rPr>
          <w:rFonts w:hint="eastAsia" w:ascii="仿宋" w:hAnsi="仿宋" w:eastAsia="仿宋"/>
          <w:color w:val="auto"/>
          <w:sz w:val="32"/>
          <w:highlight w:val="white"/>
          <w:lang w:val="en-US"/>
        </w:rPr>
        <w:t>2021年度</w:t>
      </w:r>
      <w:r>
        <w:rPr>
          <w:rFonts w:hint="eastAsia" w:ascii="仿宋" w:hAnsi="仿宋" w:eastAsia="仿宋"/>
          <w:color w:val="000000"/>
          <w:sz w:val="32"/>
          <w:highlight w:val="white"/>
          <w:lang w:val="en-US"/>
        </w:rPr>
        <w:t>一般公共预算</w:t>
      </w:r>
      <w:r>
        <w:rPr>
          <w:rFonts w:hint="eastAsia" w:ascii="仿宋" w:hAnsi="仿宋" w:eastAsia="仿宋"/>
          <w:color w:val="auto"/>
          <w:sz w:val="32"/>
          <w:highlight w:val="white"/>
          <w:lang w:val="en-US"/>
        </w:rPr>
        <w:t>财政拨款支出年初预算为</w:t>
      </w:r>
      <w:r>
        <w:rPr>
          <w:rFonts w:hint="eastAsia" w:ascii="仿宋" w:hAnsi="仿宋" w:eastAsia="仿宋"/>
          <w:color w:val="000000"/>
          <w:sz w:val="32"/>
          <w:highlight w:val="white"/>
          <w:lang w:val="en-US" w:eastAsia="zh-CN"/>
        </w:rPr>
        <w:t>5557</w:t>
      </w:r>
      <w:r>
        <w:rPr>
          <w:rFonts w:hint="eastAsia" w:ascii="仿宋" w:hAnsi="仿宋" w:eastAsia="仿宋"/>
          <w:color w:val="auto"/>
          <w:sz w:val="32"/>
          <w:highlight w:val="white"/>
          <w:lang w:val="en-US"/>
        </w:rPr>
        <w:t>万元，支出决算为</w:t>
      </w:r>
      <w:r>
        <w:rPr>
          <w:rFonts w:hint="eastAsia" w:ascii="仿宋" w:hAnsi="仿宋" w:eastAsia="仿宋"/>
          <w:color w:val="000000"/>
          <w:sz w:val="32"/>
          <w:highlight w:val="white"/>
          <w:lang w:val="en-US"/>
        </w:rPr>
        <w:t>6,081.82万元</w:t>
      </w:r>
      <w:r>
        <w:rPr>
          <w:rFonts w:hint="eastAsia" w:ascii="仿宋" w:hAnsi="仿宋" w:eastAsia="仿宋"/>
          <w:color w:val="auto"/>
          <w:sz w:val="32"/>
          <w:highlight w:val="white"/>
          <w:lang w:val="en-US"/>
        </w:rPr>
        <w:t>,完成年初预算的</w:t>
      </w:r>
      <w:r>
        <w:rPr>
          <w:rFonts w:hint="eastAsia" w:ascii="仿宋" w:hAnsi="仿宋" w:eastAsia="仿宋"/>
          <w:color w:val="000000"/>
          <w:sz w:val="32"/>
          <w:highlight w:val="white"/>
          <w:lang w:val="en-US" w:eastAsia="zh-CN"/>
        </w:rPr>
        <w:t>109.44</w:t>
      </w:r>
      <w:r>
        <w:rPr>
          <w:rFonts w:hint="eastAsia" w:ascii="仿宋" w:hAnsi="仿宋" w:eastAsia="仿宋"/>
          <w:color w:val="000000"/>
          <w:sz w:val="32"/>
          <w:highlight w:val="white"/>
          <w:lang w:val="en-US"/>
        </w:rPr>
        <w:t>%</w:t>
      </w:r>
      <w:r>
        <w:rPr>
          <w:rFonts w:hint="eastAsia" w:ascii="仿宋" w:hAnsi="仿宋" w:eastAsia="仿宋"/>
          <w:color w:val="auto"/>
          <w:sz w:val="32"/>
          <w:highlight w:val="white"/>
          <w:lang w:val="en-US"/>
        </w:rPr>
        <w:t>，主要原因是</w:t>
      </w:r>
      <w:r>
        <w:rPr>
          <w:rFonts w:hint="eastAsia" w:ascii="仿宋" w:hAnsi="仿宋" w:eastAsia="仿宋"/>
          <w:color w:val="auto"/>
          <w:sz w:val="32"/>
          <w:highlight w:val="white"/>
        </w:rPr>
        <w:t>上年结转资金88.7万元，在本年度支出</w:t>
      </w:r>
      <w:r>
        <w:rPr>
          <w:rFonts w:hint="eastAsia" w:ascii="仿宋" w:hAnsi="仿宋" w:eastAsia="仿宋"/>
          <w:color w:val="auto"/>
          <w:sz w:val="32"/>
          <w:highlight w:val="white"/>
          <w:lang w:eastAsia="zh-CN"/>
        </w:rPr>
        <w:t>，以及人员类支出增加</w:t>
      </w:r>
      <w:r>
        <w:rPr>
          <w:rFonts w:hint="eastAsia" w:ascii="仿宋" w:hAnsi="仿宋" w:eastAsia="仿宋"/>
          <w:color w:val="auto"/>
          <w:sz w:val="32"/>
          <w:highlight w:val="white"/>
          <w:lang w:val="en-US"/>
        </w:rPr>
        <w:t>。其中：</w:t>
      </w:r>
    </w:p>
    <w:p>
      <w:pPr>
        <w:pStyle w:val="2"/>
        <w:spacing w:line="324" w:lineRule="auto"/>
        <w:ind w:firstLine="600"/>
        <w:rPr>
          <w:rFonts w:hint="eastAsia" w:ascii="仿宋" w:hAnsi="仿宋" w:eastAsia="仿宋"/>
          <w:color w:val="auto"/>
          <w:kern w:val="2"/>
          <w:sz w:val="32"/>
          <w:highlight w:val="white"/>
        </w:rPr>
      </w:pPr>
      <w:r>
        <w:rPr>
          <w:rFonts w:hint="eastAsia" w:ascii="仿宋" w:hAnsi="仿宋" w:eastAsia="仿宋"/>
          <w:color w:val="auto"/>
          <w:kern w:val="2"/>
          <w:sz w:val="32"/>
          <w:highlight w:val="white"/>
        </w:rPr>
        <w:t>（1）公共安全支出（类）法院（款）行政运行（项）。年初预算为3758万元，支出决算为4096.01万元，完成年初预算的108.99%，支出决算数大于年初预算数，主要原因为上年结转的经费在本年度支出，以及人员类支出增加。</w:t>
      </w:r>
    </w:p>
    <w:p>
      <w:pPr>
        <w:pStyle w:val="2"/>
        <w:spacing w:line="324" w:lineRule="auto"/>
        <w:ind w:firstLine="600"/>
        <w:rPr>
          <w:rFonts w:hint="eastAsia" w:ascii="仿宋" w:hAnsi="仿宋" w:eastAsia="仿宋"/>
          <w:color w:val="auto"/>
          <w:kern w:val="2"/>
          <w:sz w:val="32"/>
          <w:highlight w:val="white"/>
        </w:rPr>
      </w:pPr>
      <w:r>
        <w:rPr>
          <w:rFonts w:hint="eastAsia" w:ascii="仿宋" w:hAnsi="仿宋" w:eastAsia="仿宋"/>
          <w:color w:val="auto"/>
          <w:kern w:val="2"/>
          <w:sz w:val="32"/>
          <w:highlight w:val="white"/>
        </w:rPr>
        <w:t>（2）公共安全支出（类）法院（款）机关服务（项）。年初预算为131万元，支出决算为130.62万元，完成年初预算的99.71%，支出决算数小于年初预算数，主要原因是根据物业费合同金额支付。</w:t>
      </w:r>
    </w:p>
    <w:p>
      <w:pPr>
        <w:pStyle w:val="2"/>
        <w:spacing w:line="324" w:lineRule="auto"/>
        <w:ind w:firstLine="600"/>
        <w:rPr>
          <w:rFonts w:hint="eastAsia" w:ascii="仿宋" w:hAnsi="仿宋" w:eastAsia="仿宋"/>
          <w:color w:val="auto"/>
          <w:kern w:val="2"/>
          <w:sz w:val="32"/>
          <w:highlight w:val="white"/>
        </w:rPr>
      </w:pPr>
      <w:r>
        <w:rPr>
          <w:rFonts w:hint="eastAsia" w:ascii="仿宋" w:hAnsi="仿宋" w:eastAsia="仿宋"/>
          <w:color w:val="auto"/>
          <w:kern w:val="2"/>
          <w:sz w:val="32"/>
          <w:highlight w:val="white"/>
        </w:rPr>
        <w:t>（3）公共安全支出（类）法院（款）案件审判（项）。年初预算为60万元，支出决算为60万元，完成年初预算的100%。预算数等于决算数。</w:t>
      </w:r>
    </w:p>
    <w:p>
      <w:pPr>
        <w:pStyle w:val="2"/>
        <w:spacing w:line="324" w:lineRule="auto"/>
        <w:ind w:firstLine="600"/>
        <w:rPr>
          <w:rFonts w:hint="eastAsia" w:ascii="仿宋" w:hAnsi="仿宋" w:eastAsia="仿宋"/>
          <w:color w:val="auto"/>
          <w:kern w:val="2"/>
          <w:sz w:val="32"/>
          <w:highlight w:val="white"/>
        </w:rPr>
      </w:pPr>
      <w:r>
        <w:rPr>
          <w:rFonts w:hint="eastAsia" w:ascii="仿宋" w:hAnsi="仿宋" w:eastAsia="仿宋"/>
          <w:color w:val="auto"/>
          <w:kern w:val="2"/>
          <w:sz w:val="32"/>
          <w:highlight w:val="white"/>
        </w:rPr>
        <w:t>（4）公共安全支出（类）法院（款）案件执行（项）。年初预算为80万元，支出决算为81.75万元，完成年初预算的102.19%，支出决算数大于年初预算数，主要原因为上年结转资金在本年度支出。</w:t>
      </w:r>
    </w:p>
    <w:p>
      <w:pPr>
        <w:pStyle w:val="2"/>
        <w:spacing w:line="324" w:lineRule="auto"/>
        <w:ind w:firstLine="600"/>
        <w:rPr>
          <w:rFonts w:hint="eastAsia" w:ascii="仿宋" w:hAnsi="仿宋" w:eastAsia="仿宋"/>
          <w:color w:val="auto"/>
          <w:kern w:val="2"/>
          <w:sz w:val="32"/>
          <w:highlight w:val="white"/>
        </w:rPr>
      </w:pPr>
      <w:r>
        <w:rPr>
          <w:rFonts w:hint="eastAsia" w:ascii="仿宋" w:hAnsi="仿宋" w:eastAsia="仿宋"/>
          <w:color w:val="auto"/>
          <w:kern w:val="2"/>
          <w:sz w:val="32"/>
          <w:highlight w:val="white"/>
        </w:rPr>
        <w:t>（5）公共安全支出（类）法院（款）“两庭”建设（项）。年初预算为84万元，支出决算为84.07万元，完成年初预算的100.08%，支出决算数大于年初预算数，主要原因为上年结转资金在本年度支出。</w:t>
      </w:r>
    </w:p>
    <w:p>
      <w:pPr>
        <w:pStyle w:val="2"/>
        <w:spacing w:line="324" w:lineRule="auto"/>
        <w:ind w:firstLine="600"/>
        <w:rPr>
          <w:rFonts w:hint="eastAsia" w:ascii="仿宋" w:hAnsi="仿宋" w:eastAsia="仿宋"/>
          <w:color w:val="auto"/>
          <w:kern w:val="2"/>
          <w:sz w:val="32"/>
          <w:highlight w:val="white"/>
        </w:rPr>
      </w:pPr>
      <w:r>
        <w:rPr>
          <w:rFonts w:hint="eastAsia" w:ascii="仿宋" w:hAnsi="仿宋" w:eastAsia="仿宋"/>
          <w:color w:val="auto"/>
          <w:kern w:val="2"/>
          <w:sz w:val="32"/>
          <w:highlight w:val="white"/>
        </w:rPr>
        <w:t>（6）公共安全支出（类）法院（款）其他法院支出（项）。年初预算为509万元，支出决算为631.67万元，完成年初预算的124.1%，支出决算数大于年初预算数，主要原因为上年结转资金在本年度支出，主要用于2020年的陪审员劳务费支付、差旅费邮电等费用支付。</w:t>
      </w:r>
    </w:p>
    <w:p>
      <w:pPr>
        <w:pStyle w:val="2"/>
        <w:spacing w:line="324" w:lineRule="auto"/>
        <w:ind w:firstLine="600"/>
        <w:rPr>
          <w:rFonts w:hint="eastAsia" w:ascii="仿宋" w:hAnsi="仿宋" w:eastAsia="仿宋"/>
          <w:color w:val="auto"/>
          <w:kern w:val="2"/>
          <w:sz w:val="32"/>
          <w:highlight w:val="white"/>
        </w:rPr>
      </w:pPr>
      <w:r>
        <w:rPr>
          <w:rFonts w:hint="eastAsia" w:ascii="仿宋" w:hAnsi="仿宋" w:eastAsia="仿宋"/>
          <w:color w:val="auto"/>
          <w:kern w:val="2"/>
          <w:sz w:val="32"/>
          <w:highlight w:val="white"/>
        </w:rPr>
        <w:t>（7）社会保障和就业支出（类）行政事业部门离退休（款）机关事业部门基本养老保险缴费支出（项）。年初预算为186万元，支出决算为187.74万元，完成年初预算的100.94%，支出决算数大于年初预算数，主要原因为社保基数调整。</w:t>
      </w:r>
    </w:p>
    <w:p>
      <w:pPr>
        <w:pStyle w:val="2"/>
        <w:spacing w:line="324" w:lineRule="auto"/>
        <w:ind w:firstLine="600"/>
        <w:rPr>
          <w:rFonts w:hint="eastAsia" w:ascii="仿宋" w:hAnsi="仿宋" w:eastAsia="仿宋"/>
          <w:color w:val="auto"/>
          <w:kern w:val="2"/>
          <w:sz w:val="32"/>
          <w:highlight w:val="white"/>
        </w:rPr>
      </w:pPr>
      <w:r>
        <w:rPr>
          <w:rFonts w:hint="eastAsia" w:ascii="仿宋" w:hAnsi="仿宋" w:eastAsia="仿宋"/>
          <w:color w:val="auto"/>
          <w:kern w:val="2"/>
          <w:sz w:val="32"/>
          <w:highlight w:val="white"/>
        </w:rPr>
        <w:t>（8）社会保障和就业支出（类）行政事业部门离退休（款）机关事业部门职业年金缴费支出（项）。年初预算为93万元，支出决算为93.87万元，完成年初预算的100.94%，支出决算数大于年初预算数，主要原因为社保基数调整。</w:t>
      </w:r>
    </w:p>
    <w:p>
      <w:pPr>
        <w:pStyle w:val="2"/>
        <w:spacing w:line="324" w:lineRule="auto"/>
        <w:ind w:firstLine="600"/>
        <w:rPr>
          <w:rFonts w:hint="eastAsia" w:ascii="仿宋" w:hAnsi="仿宋" w:eastAsia="仿宋"/>
          <w:color w:val="auto"/>
          <w:kern w:val="2"/>
          <w:sz w:val="32"/>
          <w:highlight w:val="white"/>
        </w:rPr>
      </w:pPr>
      <w:r>
        <w:rPr>
          <w:rFonts w:hint="eastAsia" w:ascii="仿宋" w:hAnsi="仿宋" w:eastAsia="仿宋"/>
          <w:color w:val="auto"/>
          <w:kern w:val="2"/>
          <w:sz w:val="32"/>
          <w:highlight w:val="white"/>
        </w:rPr>
        <w:t>（9）社会保障和就业支出（类）行政事业部门离退休（款）其他行政事业单位养老支出（项）。年初预算为119万元，支出决算为164.35万元，完成年初预算的138.11%，支出决算数大于年初预算数，主要原因退休人员增加。</w:t>
      </w:r>
    </w:p>
    <w:p>
      <w:pPr>
        <w:pStyle w:val="2"/>
        <w:spacing w:line="324" w:lineRule="auto"/>
        <w:ind w:firstLine="600"/>
        <w:rPr>
          <w:rFonts w:hint="eastAsia" w:ascii="仿宋" w:hAnsi="仿宋" w:eastAsia="仿宋"/>
          <w:color w:val="auto"/>
          <w:kern w:val="2"/>
          <w:sz w:val="32"/>
          <w:highlight w:val="white"/>
        </w:rPr>
      </w:pPr>
      <w:r>
        <w:rPr>
          <w:rFonts w:hint="eastAsia" w:ascii="仿宋" w:hAnsi="仿宋" w:eastAsia="仿宋"/>
          <w:color w:val="auto"/>
          <w:kern w:val="2"/>
          <w:sz w:val="32"/>
          <w:highlight w:val="white"/>
        </w:rPr>
        <w:t>（10）卫生健康支出（类）行政事业部门医疗（款）行政单位医疗（项）。年初预算为232万元，支出决算为233.47万元，完成年初预算的100.63，支出决算数大于年初预算数，主要原因为社保基数调整。</w:t>
      </w:r>
    </w:p>
    <w:p>
      <w:pPr>
        <w:pStyle w:val="2"/>
        <w:spacing w:line="324" w:lineRule="auto"/>
        <w:ind w:firstLine="600"/>
        <w:rPr>
          <w:rFonts w:hint="eastAsia" w:ascii="仿宋" w:hAnsi="仿宋" w:eastAsia="仿宋"/>
          <w:color w:val="auto"/>
          <w:kern w:val="2"/>
          <w:sz w:val="32"/>
          <w:highlight w:val="white"/>
        </w:rPr>
      </w:pPr>
      <w:r>
        <w:rPr>
          <w:rFonts w:hint="eastAsia" w:ascii="仿宋" w:hAnsi="仿宋" w:eastAsia="仿宋"/>
          <w:color w:val="auto"/>
          <w:kern w:val="2"/>
          <w:sz w:val="32"/>
          <w:highlight w:val="white"/>
        </w:rPr>
        <w:t>（11）住房保障支出（类）住房改革支出（款）住房公积金（项）。年初预算为305万元，支出决算为318.27万元，完成年初预算的104.35%，支出决算数大于年初预算数，主要原因为公积金基数调整。</w:t>
      </w:r>
    </w:p>
    <w:p>
      <w:pPr>
        <w:spacing w:line="324" w:lineRule="auto"/>
        <w:ind w:firstLine="594"/>
        <w:rPr>
          <w:rFonts w:hint="default" w:eastAsia="Times New Roman"/>
          <w:color w:val="000000"/>
          <w:sz w:val="32"/>
          <w:highlight w:val="white"/>
          <w:lang w:val="en-US"/>
        </w:rPr>
      </w:pPr>
      <w:r>
        <w:rPr>
          <w:rFonts w:hint="eastAsia" w:ascii="楷体" w:hAnsi="楷体" w:eastAsia="楷体"/>
          <w:b/>
          <w:color w:val="000000"/>
          <w:sz w:val="32"/>
          <w:highlight w:val="white"/>
          <w:lang w:val="en-US"/>
        </w:rPr>
        <w:t>（六）一般公共预算财政拨款基本支出决算情况说明</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2021年度一般公共预算财政拨款基本支出5,093.71万元，其中：</w:t>
      </w:r>
    </w:p>
    <w:p>
      <w:pPr>
        <w:pStyle w:val="2"/>
        <w:spacing w:line="324" w:lineRule="auto"/>
        <w:ind w:firstLine="600"/>
        <w:rPr>
          <w:rFonts w:hint="eastAsia" w:ascii="仿宋" w:hAnsi="仿宋" w:eastAsia="仿宋"/>
          <w:color w:val="auto"/>
          <w:kern w:val="2"/>
          <w:sz w:val="32"/>
          <w:highlight w:val="white"/>
        </w:rPr>
      </w:pPr>
      <w:r>
        <w:rPr>
          <w:rFonts w:hint="eastAsia" w:ascii="仿宋" w:hAnsi="仿宋" w:eastAsia="仿宋"/>
          <w:color w:val="000000"/>
          <w:sz w:val="32"/>
          <w:highlight w:val="white"/>
        </w:rPr>
        <w:t>人员经费4,600.39万元，</w:t>
      </w:r>
      <w:r>
        <w:rPr>
          <w:rFonts w:hint="eastAsia" w:ascii="仿宋" w:hAnsi="仿宋" w:eastAsia="仿宋"/>
          <w:color w:val="auto"/>
          <w:kern w:val="2"/>
          <w:sz w:val="32"/>
          <w:highlight w:val="white"/>
        </w:rPr>
        <w:t>主要包括：基本工资、津贴补贴、奖金、机关事业单位基本养老保险缴费、职业年金缴费、职工基本医疗保险缴费、公务员医疗补助缴费、其他社会保障缴费、住房公积金、医疗费、其他工资福利费支出、退休费、抚恤金、生活补助。</w:t>
      </w:r>
    </w:p>
    <w:p>
      <w:pPr>
        <w:spacing w:line="324" w:lineRule="auto"/>
        <w:ind w:firstLine="594"/>
        <w:rPr>
          <w:rFonts w:hint="eastAsia" w:ascii="仿宋" w:hAnsi="仿宋" w:eastAsia="仿宋"/>
          <w:color w:val="auto"/>
          <w:sz w:val="32"/>
          <w:highlight w:val="white"/>
        </w:rPr>
      </w:pPr>
      <w:r>
        <w:rPr>
          <w:rFonts w:hint="eastAsia" w:ascii="仿宋" w:hAnsi="仿宋" w:eastAsia="仿宋"/>
          <w:color w:val="000000"/>
          <w:sz w:val="32"/>
          <w:highlight w:val="white"/>
          <w:lang w:val="en-US"/>
        </w:rPr>
        <w:t>公用经费493.32万元，</w:t>
      </w:r>
      <w:r>
        <w:rPr>
          <w:rFonts w:hint="eastAsia" w:ascii="仿宋" w:hAnsi="仿宋" w:eastAsia="仿宋"/>
          <w:color w:val="auto"/>
          <w:sz w:val="32"/>
          <w:highlight w:val="white"/>
        </w:rPr>
        <w:t>主要包括：办公费、印刷费、电费、邮电费、物业管理费、差旅费、维修（护）费、租赁费、培训费、公务接待费、专用材料费、</w:t>
      </w:r>
      <w:r>
        <w:rPr>
          <w:rFonts w:hint="eastAsia" w:ascii="仿宋" w:hAnsi="仿宋" w:eastAsia="仿宋"/>
          <w:color w:val="auto"/>
          <w:sz w:val="32"/>
          <w:highlight w:val="white"/>
          <w:lang w:eastAsia="zh-CN"/>
        </w:rPr>
        <w:t>被装购置费、劳务费、</w:t>
      </w:r>
      <w:r>
        <w:rPr>
          <w:rFonts w:hint="eastAsia" w:ascii="仿宋" w:hAnsi="仿宋" w:eastAsia="仿宋"/>
          <w:color w:val="auto"/>
          <w:sz w:val="32"/>
          <w:highlight w:val="white"/>
        </w:rPr>
        <w:t>委托业务费、工会经费、福利费、其他交通费</w:t>
      </w:r>
      <w:r>
        <w:rPr>
          <w:rFonts w:hint="eastAsia" w:ascii="仿宋" w:hAnsi="仿宋" w:eastAsia="仿宋"/>
          <w:color w:val="auto"/>
          <w:sz w:val="32"/>
          <w:highlight w:val="white"/>
          <w:lang w:eastAsia="zh-CN"/>
        </w:rPr>
        <w:t>用</w:t>
      </w:r>
      <w:r>
        <w:rPr>
          <w:rFonts w:hint="eastAsia" w:ascii="仿宋" w:hAnsi="仿宋" w:eastAsia="仿宋"/>
          <w:color w:val="auto"/>
          <w:sz w:val="32"/>
          <w:highlight w:val="white"/>
        </w:rPr>
        <w:t>、其他商品和服务支出。</w:t>
      </w:r>
    </w:p>
    <w:p>
      <w:pPr>
        <w:numPr>
          <w:ilvl w:val="0"/>
          <w:numId w:val="1"/>
        </w:numPr>
        <w:spacing w:line="324" w:lineRule="auto"/>
        <w:ind w:firstLine="594"/>
        <w:rPr>
          <w:rFonts w:hint="eastAsia" w:ascii="楷体" w:hAnsi="楷体" w:eastAsia="楷体"/>
          <w:b/>
          <w:color w:val="000000"/>
          <w:sz w:val="32"/>
          <w:highlight w:val="white"/>
          <w:lang w:val="en-US"/>
        </w:rPr>
      </w:pPr>
      <w:r>
        <w:rPr>
          <w:rFonts w:hint="eastAsia" w:ascii="楷体" w:hAnsi="楷体" w:eastAsia="楷体"/>
          <w:b/>
          <w:color w:val="000000"/>
          <w:sz w:val="32"/>
          <w:highlight w:val="white"/>
          <w:lang w:val="en-US"/>
        </w:rPr>
        <w:t>政府性基金预算财政拨款支出</w:t>
      </w:r>
      <w:r>
        <w:rPr>
          <w:rFonts w:hint="eastAsia" w:ascii="楷体" w:hAnsi="楷体" w:eastAsia="楷体"/>
          <w:b/>
          <w:color w:val="000000"/>
          <w:sz w:val="32"/>
          <w:highlight w:val="white"/>
          <w:lang w:val="zh-CN"/>
        </w:rPr>
        <w:t>决算</w:t>
      </w:r>
      <w:r>
        <w:rPr>
          <w:rFonts w:hint="eastAsia" w:ascii="楷体" w:hAnsi="楷体" w:eastAsia="楷体"/>
          <w:b/>
          <w:color w:val="000000"/>
          <w:sz w:val="32"/>
          <w:highlight w:val="white"/>
          <w:lang w:val="en-US"/>
        </w:rPr>
        <w:t>总体情况说明</w:t>
      </w:r>
    </w:p>
    <w:p>
      <w:pPr>
        <w:numPr>
          <w:ilvl w:val="0"/>
          <w:numId w:val="0"/>
        </w:numPr>
        <w:spacing w:line="324" w:lineRule="auto"/>
        <w:ind w:firstLine="640" w:firstLineChars="200"/>
        <w:rPr>
          <w:rFonts w:hint="eastAsia" w:ascii="仿宋" w:hAnsi="仿宋" w:eastAsia="仿宋"/>
          <w:b/>
          <w:color w:val="000000"/>
          <w:sz w:val="32"/>
          <w:highlight w:val="white"/>
          <w:lang w:val="en-US" w:eastAsia="zh-CN"/>
        </w:rPr>
      </w:pPr>
      <w:r>
        <w:rPr>
          <w:rFonts w:hint="eastAsia" w:ascii="仿宋" w:hAnsi="仿宋" w:eastAsia="仿宋"/>
          <w:color w:val="000000"/>
          <w:sz w:val="32"/>
          <w:highlight w:val="white"/>
          <w:lang w:val="en-US"/>
        </w:rPr>
        <w:t>本单位2021年度无政府性基金预算财政拨款收支安排，故无相关数据</w:t>
      </w:r>
      <w:r>
        <w:rPr>
          <w:rFonts w:hint="eastAsia" w:ascii="仿宋" w:hAnsi="仿宋" w:eastAsia="仿宋"/>
          <w:color w:val="000000"/>
          <w:sz w:val="32"/>
          <w:highlight w:val="white"/>
          <w:lang w:val="en-US" w:eastAsia="zh-CN"/>
        </w:rPr>
        <w:t>。</w:t>
      </w:r>
    </w:p>
    <w:p>
      <w:pPr>
        <w:spacing w:line="324" w:lineRule="auto"/>
        <w:ind w:firstLine="606"/>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1.政府性基金预算财政拨款支出决算总体情况。</w:t>
      </w:r>
    </w:p>
    <w:p>
      <w:pPr>
        <w:numPr>
          <w:ilvl w:val="0"/>
          <w:numId w:val="0"/>
        </w:numPr>
        <w:spacing w:line="324" w:lineRule="auto"/>
        <w:ind w:firstLine="640" w:firstLineChars="200"/>
        <w:rPr>
          <w:rFonts w:hint="eastAsia" w:ascii="仿宋_GB2312" w:hAnsi="仿宋_GB2312" w:eastAsia="仿宋_GB2312"/>
          <w:b/>
          <w:color w:val="000000"/>
          <w:sz w:val="32"/>
          <w:highlight w:val="white"/>
          <w:lang w:val="en-US"/>
        </w:rPr>
      </w:pPr>
      <w:r>
        <w:rPr>
          <w:rFonts w:hint="eastAsia" w:ascii="仿宋" w:hAnsi="仿宋" w:eastAsia="仿宋"/>
          <w:color w:val="000000"/>
          <w:sz w:val="32"/>
          <w:highlight w:val="white"/>
          <w:lang w:val="en-US"/>
        </w:rPr>
        <w:t>本</w:t>
      </w:r>
      <w:r>
        <w:rPr>
          <w:rFonts w:hint="eastAsia" w:ascii="仿宋" w:hAnsi="仿宋" w:eastAsia="仿宋"/>
          <w:color w:val="000000"/>
          <w:sz w:val="32"/>
          <w:highlight w:val="white"/>
          <w:lang w:val="en-US" w:eastAsia="zh-CN"/>
        </w:rPr>
        <w:t>单位</w:t>
      </w:r>
      <w:r>
        <w:rPr>
          <w:rFonts w:hint="eastAsia" w:ascii="仿宋" w:hAnsi="仿宋" w:eastAsia="仿宋"/>
          <w:color w:val="000000"/>
          <w:sz w:val="32"/>
          <w:highlight w:val="white"/>
          <w:lang w:val="en-US"/>
        </w:rPr>
        <w:t>202</w:t>
      </w:r>
      <w:r>
        <w:rPr>
          <w:rFonts w:hint="eastAsia" w:ascii="仿宋" w:hAnsi="仿宋" w:eastAsia="仿宋"/>
          <w:color w:val="000000"/>
          <w:sz w:val="32"/>
          <w:highlight w:val="white"/>
          <w:lang w:val="en-US" w:eastAsia="zh-CN"/>
        </w:rPr>
        <w:t>1</w:t>
      </w:r>
      <w:r>
        <w:rPr>
          <w:rFonts w:hint="eastAsia" w:ascii="仿宋" w:hAnsi="仿宋" w:eastAsia="仿宋"/>
          <w:color w:val="000000"/>
          <w:sz w:val="32"/>
          <w:highlight w:val="white"/>
          <w:lang w:val="en-US"/>
        </w:rPr>
        <w:t>年度无政府性基金预算财政拨款收支安排，故无相关数据。</w:t>
      </w:r>
    </w:p>
    <w:p>
      <w:pPr>
        <w:spacing w:line="324" w:lineRule="auto"/>
        <w:ind w:firstLine="606"/>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2.政府性基金预算财政拨款支出决算结构情况。</w:t>
      </w:r>
    </w:p>
    <w:p>
      <w:pPr>
        <w:numPr>
          <w:ilvl w:val="0"/>
          <w:numId w:val="0"/>
        </w:numPr>
        <w:spacing w:line="324" w:lineRule="auto"/>
        <w:ind w:firstLine="640" w:firstLineChars="200"/>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本</w:t>
      </w:r>
      <w:r>
        <w:rPr>
          <w:rFonts w:hint="eastAsia" w:ascii="仿宋" w:hAnsi="仿宋" w:eastAsia="仿宋"/>
          <w:color w:val="000000"/>
          <w:sz w:val="32"/>
          <w:highlight w:val="white"/>
          <w:lang w:val="en-US" w:eastAsia="zh-CN"/>
        </w:rPr>
        <w:t>单位</w:t>
      </w:r>
      <w:r>
        <w:rPr>
          <w:rFonts w:hint="eastAsia" w:ascii="仿宋" w:hAnsi="仿宋" w:eastAsia="仿宋"/>
          <w:color w:val="000000"/>
          <w:sz w:val="32"/>
          <w:highlight w:val="white"/>
          <w:lang w:val="en-US"/>
        </w:rPr>
        <w:t>202</w:t>
      </w:r>
      <w:r>
        <w:rPr>
          <w:rFonts w:hint="eastAsia" w:ascii="仿宋" w:hAnsi="仿宋" w:eastAsia="仿宋"/>
          <w:color w:val="000000"/>
          <w:sz w:val="32"/>
          <w:highlight w:val="white"/>
          <w:lang w:val="en-US" w:eastAsia="zh-CN"/>
        </w:rPr>
        <w:t>1</w:t>
      </w:r>
      <w:r>
        <w:rPr>
          <w:rFonts w:hint="eastAsia" w:ascii="仿宋" w:hAnsi="仿宋" w:eastAsia="仿宋"/>
          <w:color w:val="000000"/>
          <w:sz w:val="32"/>
          <w:highlight w:val="white"/>
          <w:lang w:val="en-US"/>
        </w:rPr>
        <w:t>年度无政府性基金预算财政拨款收支安排，故无相关数据。</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3.政府性基金预算财政拨款支出决算具体情况。</w:t>
      </w:r>
    </w:p>
    <w:p>
      <w:pPr>
        <w:numPr>
          <w:ilvl w:val="0"/>
          <w:numId w:val="0"/>
        </w:numPr>
        <w:spacing w:line="324" w:lineRule="auto"/>
        <w:ind w:firstLine="640" w:firstLineChars="200"/>
        <w:rPr>
          <w:rFonts w:hint="eastAsia" w:ascii="仿宋" w:hAnsi="仿宋" w:eastAsia="仿宋"/>
          <w:color w:val="000000"/>
          <w:sz w:val="32"/>
          <w:highlight w:val="white"/>
          <w:lang w:val="en-US" w:eastAsia="zh-CN"/>
        </w:rPr>
      </w:pPr>
      <w:r>
        <w:rPr>
          <w:rFonts w:hint="eastAsia" w:ascii="仿宋" w:hAnsi="仿宋" w:eastAsia="仿宋"/>
          <w:color w:val="000000"/>
          <w:sz w:val="32"/>
          <w:highlight w:val="white"/>
          <w:lang w:val="en-US"/>
        </w:rPr>
        <w:t>本</w:t>
      </w:r>
      <w:r>
        <w:rPr>
          <w:rFonts w:hint="eastAsia" w:ascii="仿宋" w:hAnsi="仿宋" w:eastAsia="仿宋"/>
          <w:color w:val="000000"/>
          <w:sz w:val="32"/>
          <w:highlight w:val="white"/>
          <w:lang w:val="en-US" w:eastAsia="zh-CN"/>
        </w:rPr>
        <w:t>单位</w:t>
      </w:r>
      <w:r>
        <w:rPr>
          <w:rFonts w:hint="eastAsia" w:ascii="仿宋" w:hAnsi="仿宋" w:eastAsia="仿宋"/>
          <w:color w:val="000000"/>
          <w:sz w:val="32"/>
          <w:highlight w:val="white"/>
          <w:lang w:val="en-US"/>
        </w:rPr>
        <w:t>202</w:t>
      </w:r>
      <w:r>
        <w:rPr>
          <w:rFonts w:hint="eastAsia" w:ascii="仿宋" w:hAnsi="仿宋" w:eastAsia="仿宋"/>
          <w:color w:val="000000"/>
          <w:sz w:val="32"/>
          <w:highlight w:val="white"/>
          <w:lang w:val="en-US" w:eastAsia="zh-CN"/>
        </w:rPr>
        <w:t>1</w:t>
      </w:r>
      <w:r>
        <w:rPr>
          <w:rFonts w:hint="eastAsia" w:ascii="仿宋" w:hAnsi="仿宋" w:eastAsia="仿宋"/>
          <w:color w:val="000000"/>
          <w:sz w:val="32"/>
          <w:highlight w:val="white"/>
          <w:lang w:val="en-US"/>
        </w:rPr>
        <w:t>年度无政府性基金预算财政拨款收支安排，故无相关数据。</w:t>
      </w:r>
    </w:p>
    <w:p>
      <w:pPr>
        <w:numPr>
          <w:ilvl w:val="0"/>
          <w:numId w:val="1"/>
        </w:numPr>
        <w:spacing w:line="324" w:lineRule="auto"/>
        <w:ind w:firstLine="594"/>
        <w:rPr>
          <w:rFonts w:hint="eastAsia" w:ascii="楷体" w:hAnsi="楷体" w:eastAsia="楷体"/>
          <w:b/>
          <w:color w:val="000000"/>
          <w:sz w:val="32"/>
          <w:highlight w:val="white"/>
          <w:lang w:val="en-US"/>
        </w:rPr>
      </w:pPr>
      <w:r>
        <w:rPr>
          <w:rFonts w:hint="eastAsia" w:ascii="楷体" w:hAnsi="楷体" w:eastAsia="楷体"/>
          <w:b/>
          <w:color w:val="000000"/>
          <w:sz w:val="32"/>
          <w:highlight w:val="white"/>
          <w:lang w:val="en-US"/>
        </w:rPr>
        <w:t>国有资本经营预算财政拨款支出</w:t>
      </w:r>
      <w:r>
        <w:rPr>
          <w:rFonts w:hint="eastAsia" w:ascii="楷体" w:hAnsi="楷体" w:eastAsia="楷体"/>
          <w:b/>
          <w:color w:val="000000"/>
          <w:sz w:val="32"/>
          <w:highlight w:val="white"/>
          <w:lang w:val="zh-CN"/>
        </w:rPr>
        <w:t>决算</w:t>
      </w:r>
      <w:r>
        <w:rPr>
          <w:rFonts w:hint="eastAsia" w:ascii="楷体" w:hAnsi="楷体" w:eastAsia="楷体"/>
          <w:b/>
          <w:color w:val="000000"/>
          <w:sz w:val="32"/>
          <w:highlight w:val="white"/>
          <w:lang w:val="en-US"/>
        </w:rPr>
        <w:t>总体情况说明</w:t>
      </w:r>
    </w:p>
    <w:p>
      <w:pPr>
        <w:numPr>
          <w:ilvl w:val="0"/>
          <w:numId w:val="0"/>
        </w:numPr>
        <w:spacing w:line="324" w:lineRule="auto"/>
        <w:ind w:firstLine="640" w:firstLineChars="200"/>
        <w:rPr>
          <w:rFonts w:hint="eastAsia" w:ascii="仿宋" w:hAnsi="仿宋" w:eastAsia="仿宋"/>
          <w:b/>
          <w:color w:val="000000"/>
          <w:sz w:val="32"/>
          <w:highlight w:val="white"/>
          <w:lang w:val="en-US" w:eastAsia="zh-CN"/>
        </w:rPr>
      </w:pPr>
      <w:r>
        <w:rPr>
          <w:rFonts w:hint="eastAsia" w:ascii="仿宋" w:hAnsi="仿宋" w:eastAsia="仿宋"/>
          <w:color w:val="000000"/>
          <w:sz w:val="32"/>
          <w:highlight w:val="white"/>
          <w:lang w:val="en-US"/>
        </w:rPr>
        <w:t>本单位2021年度无国有资本经营预算财政拨款收支安排，故无相关数据</w:t>
      </w:r>
      <w:r>
        <w:rPr>
          <w:rFonts w:hint="eastAsia" w:ascii="仿宋" w:hAnsi="仿宋" w:eastAsia="仿宋"/>
          <w:color w:val="000000"/>
          <w:sz w:val="32"/>
          <w:highlight w:val="white"/>
          <w:lang w:val="en-US" w:eastAsia="zh-CN"/>
        </w:rPr>
        <w:t>。</w:t>
      </w:r>
    </w:p>
    <w:p>
      <w:pPr>
        <w:spacing w:line="324" w:lineRule="auto"/>
        <w:ind w:firstLine="606"/>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1.国有资本经营预算财政拨款支出决算总体情况。</w:t>
      </w:r>
    </w:p>
    <w:p>
      <w:pPr>
        <w:numPr>
          <w:ilvl w:val="0"/>
          <w:numId w:val="0"/>
        </w:numPr>
        <w:spacing w:line="324" w:lineRule="auto"/>
        <w:ind w:firstLine="640" w:firstLineChars="200"/>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本</w:t>
      </w:r>
      <w:r>
        <w:rPr>
          <w:rFonts w:hint="eastAsia" w:ascii="仿宋" w:hAnsi="仿宋" w:eastAsia="仿宋"/>
          <w:color w:val="000000"/>
          <w:sz w:val="32"/>
          <w:highlight w:val="white"/>
          <w:lang w:val="en-US" w:eastAsia="zh-CN"/>
        </w:rPr>
        <w:t>单位</w:t>
      </w:r>
      <w:r>
        <w:rPr>
          <w:rFonts w:hint="eastAsia" w:ascii="仿宋" w:hAnsi="仿宋" w:eastAsia="仿宋"/>
          <w:color w:val="000000"/>
          <w:sz w:val="32"/>
          <w:highlight w:val="white"/>
          <w:lang w:val="en-US"/>
        </w:rPr>
        <w:t>202</w:t>
      </w:r>
      <w:r>
        <w:rPr>
          <w:rFonts w:hint="eastAsia" w:ascii="仿宋" w:hAnsi="仿宋" w:eastAsia="仿宋"/>
          <w:color w:val="000000"/>
          <w:sz w:val="32"/>
          <w:highlight w:val="white"/>
          <w:lang w:val="en-US" w:eastAsia="zh-CN"/>
        </w:rPr>
        <w:t>1</w:t>
      </w:r>
      <w:r>
        <w:rPr>
          <w:rFonts w:hint="eastAsia" w:ascii="仿宋" w:hAnsi="仿宋" w:eastAsia="仿宋"/>
          <w:color w:val="000000"/>
          <w:sz w:val="32"/>
          <w:highlight w:val="white"/>
          <w:lang w:val="en-US"/>
        </w:rPr>
        <w:t>年度无国有资本经营预算财政拨款收支安排，故无相关数据。</w:t>
      </w:r>
    </w:p>
    <w:p>
      <w:pPr>
        <w:spacing w:line="324" w:lineRule="auto"/>
        <w:ind w:firstLine="606"/>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2.国有资本经营预算财政拨款支出决算结构情况。</w:t>
      </w:r>
    </w:p>
    <w:p>
      <w:pPr>
        <w:numPr>
          <w:ilvl w:val="0"/>
          <w:numId w:val="0"/>
        </w:numPr>
        <w:spacing w:line="324" w:lineRule="auto"/>
        <w:ind w:firstLine="640" w:firstLineChars="200"/>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本</w:t>
      </w:r>
      <w:r>
        <w:rPr>
          <w:rFonts w:hint="eastAsia" w:ascii="仿宋" w:hAnsi="仿宋" w:eastAsia="仿宋"/>
          <w:color w:val="000000"/>
          <w:sz w:val="32"/>
          <w:highlight w:val="white"/>
          <w:lang w:val="en-US" w:eastAsia="zh-CN"/>
        </w:rPr>
        <w:t>单位</w:t>
      </w:r>
      <w:r>
        <w:rPr>
          <w:rFonts w:hint="eastAsia" w:ascii="仿宋" w:hAnsi="仿宋" w:eastAsia="仿宋"/>
          <w:color w:val="000000"/>
          <w:sz w:val="32"/>
          <w:highlight w:val="white"/>
          <w:lang w:val="en-US"/>
        </w:rPr>
        <w:t>202</w:t>
      </w:r>
      <w:r>
        <w:rPr>
          <w:rFonts w:hint="eastAsia" w:ascii="仿宋" w:hAnsi="仿宋" w:eastAsia="仿宋"/>
          <w:color w:val="000000"/>
          <w:sz w:val="32"/>
          <w:highlight w:val="white"/>
          <w:lang w:val="en-US" w:eastAsia="zh-CN"/>
        </w:rPr>
        <w:t>1</w:t>
      </w:r>
      <w:r>
        <w:rPr>
          <w:rFonts w:hint="eastAsia" w:ascii="仿宋" w:hAnsi="仿宋" w:eastAsia="仿宋"/>
          <w:color w:val="000000"/>
          <w:sz w:val="32"/>
          <w:highlight w:val="white"/>
          <w:lang w:val="en-US"/>
        </w:rPr>
        <w:t>年度无国有资本经营预算财政拨款收支安排，故无相关数据。</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3.国有资本经营预算财政拨款支出决算具体情况。</w:t>
      </w:r>
    </w:p>
    <w:p>
      <w:pPr>
        <w:numPr>
          <w:ilvl w:val="0"/>
          <w:numId w:val="0"/>
        </w:numPr>
        <w:spacing w:line="324" w:lineRule="auto"/>
        <w:ind w:firstLine="640" w:firstLineChars="200"/>
        <w:rPr>
          <w:rFonts w:hint="eastAsia" w:ascii="仿宋" w:hAnsi="仿宋" w:eastAsia="仿宋"/>
          <w:color w:val="000000"/>
          <w:sz w:val="32"/>
          <w:highlight w:val="white"/>
          <w:lang w:val="en-US" w:eastAsia="zh-CN"/>
        </w:rPr>
      </w:pPr>
      <w:r>
        <w:rPr>
          <w:rFonts w:hint="eastAsia" w:ascii="仿宋" w:hAnsi="仿宋" w:eastAsia="仿宋"/>
          <w:color w:val="000000"/>
          <w:sz w:val="32"/>
          <w:highlight w:val="white"/>
          <w:lang w:val="en-US"/>
        </w:rPr>
        <w:t>本</w:t>
      </w:r>
      <w:r>
        <w:rPr>
          <w:rFonts w:hint="eastAsia" w:ascii="仿宋" w:hAnsi="仿宋" w:eastAsia="仿宋"/>
          <w:color w:val="000000"/>
          <w:sz w:val="32"/>
          <w:highlight w:val="white"/>
          <w:lang w:val="en-US" w:eastAsia="zh-CN"/>
        </w:rPr>
        <w:t>单位</w:t>
      </w:r>
      <w:r>
        <w:rPr>
          <w:rFonts w:hint="eastAsia" w:ascii="仿宋" w:hAnsi="仿宋" w:eastAsia="仿宋"/>
          <w:color w:val="000000"/>
          <w:sz w:val="32"/>
          <w:highlight w:val="white"/>
          <w:lang w:val="en-US"/>
        </w:rPr>
        <w:t>202</w:t>
      </w:r>
      <w:r>
        <w:rPr>
          <w:rFonts w:hint="eastAsia" w:ascii="仿宋" w:hAnsi="仿宋" w:eastAsia="仿宋"/>
          <w:color w:val="000000"/>
          <w:sz w:val="32"/>
          <w:highlight w:val="white"/>
          <w:lang w:val="en-US" w:eastAsia="zh-CN"/>
        </w:rPr>
        <w:t>1</w:t>
      </w:r>
      <w:r>
        <w:rPr>
          <w:rFonts w:hint="eastAsia" w:ascii="仿宋" w:hAnsi="仿宋" w:eastAsia="仿宋"/>
          <w:color w:val="000000"/>
          <w:sz w:val="32"/>
          <w:highlight w:val="white"/>
          <w:lang w:val="en-US"/>
        </w:rPr>
        <w:t>年度无国有资本经营预算财政拨款收支安排，故无相关数据。</w:t>
      </w:r>
    </w:p>
    <w:p>
      <w:pPr>
        <w:spacing w:line="324" w:lineRule="auto"/>
        <w:ind w:firstLine="594"/>
        <w:rPr>
          <w:rFonts w:hint="default" w:eastAsia="Times New Roman"/>
          <w:b/>
          <w:color w:val="000000"/>
          <w:sz w:val="32"/>
          <w:highlight w:val="white"/>
          <w:lang w:val="en-US"/>
        </w:rPr>
      </w:pPr>
      <w:r>
        <w:rPr>
          <w:rFonts w:hint="eastAsia" w:ascii="楷体" w:hAnsi="楷体" w:eastAsia="楷体"/>
          <w:b/>
          <w:color w:val="000000"/>
          <w:sz w:val="32"/>
          <w:highlight w:val="white"/>
          <w:lang w:val="en-US"/>
        </w:rPr>
        <w:t>（九）一般公共预算财政拨款“三公”经费支出决算情况说明</w:t>
      </w:r>
    </w:p>
    <w:p>
      <w:pPr>
        <w:spacing w:line="324" w:lineRule="auto"/>
        <w:ind w:firstLine="594"/>
        <w:rPr>
          <w:rFonts w:hint="eastAsia" w:ascii="仿宋" w:hAnsi="仿宋" w:eastAsia="仿宋"/>
          <w:b/>
          <w:color w:val="000000"/>
          <w:sz w:val="32"/>
          <w:highlight w:val="white"/>
          <w:lang w:val="en-US"/>
        </w:rPr>
      </w:pPr>
      <w:r>
        <w:rPr>
          <w:rFonts w:hint="eastAsia" w:ascii="仿宋" w:hAnsi="仿宋" w:eastAsia="仿宋"/>
          <w:b/>
          <w:color w:val="000000"/>
          <w:sz w:val="32"/>
          <w:highlight w:val="white"/>
          <w:lang w:val="en-US"/>
        </w:rPr>
        <w:t xml:space="preserve">1.“三公”经费一般公共预算财政拨款支出决算总体情况说明。 </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2021年度“三公”经费一般公共预算财政拨款支出预算为</w:t>
      </w:r>
      <w:r>
        <w:rPr>
          <w:rFonts w:hint="eastAsia" w:ascii="仿宋" w:hAnsi="仿宋" w:eastAsia="仿宋"/>
          <w:color w:val="000000"/>
          <w:sz w:val="32"/>
          <w:highlight w:val="white"/>
          <w:lang w:val="en-US" w:eastAsia="zh-CN"/>
        </w:rPr>
        <w:t>74.53</w:t>
      </w:r>
      <w:r>
        <w:rPr>
          <w:rFonts w:hint="eastAsia" w:ascii="仿宋" w:hAnsi="仿宋" w:eastAsia="仿宋"/>
          <w:color w:val="000000"/>
          <w:sz w:val="32"/>
          <w:highlight w:val="white"/>
          <w:lang w:val="en-US"/>
        </w:rPr>
        <w:t>万元，支出决算为72.02万元，完成预算的</w:t>
      </w:r>
      <w:r>
        <w:rPr>
          <w:rFonts w:hint="eastAsia" w:ascii="仿宋" w:hAnsi="仿宋" w:eastAsia="仿宋"/>
          <w:color w:val="000000"/>
          <w:sz w:val="32"/>
          <w:highlight w:val="white"/>
          <w:lang w:val="en-US" w:eastAsia="zh-CN"/>
        </w:rPr>
        <w:t>96.63</w:t>
      </w:r>
      <w:r>
        <w:rPr>
          <w:rFonts w:hint="eastAsia" w:ascii="仿宋" w:hAnsi="仿宋" w:eastAsia="仿宋"/>
          <w:color w:val="000000"/>
          <w:sz w:val="32"/>
          <w:highlight w:val="white"/>
          <w:lang w:val="en-US"/>
        </w:rPr>
        <w:t>%,2021年度“三公”经费支出决算数小于预算数的主要原因</w:t>
      </w:r>
      <w:r>
        <w:rPr>
          <w:rFonts w:hint="eastAsia" w:ascii="仿宋" w:hAnsi="仿宋" w:eastAsia="仿宋"/>
          <w:color w:val="auto"/>
          <w:sz w:val="32"/>
          <w:highlight w:val="white"/>
        </w:rPr>
        <w:t>是受疫情影响，执行出车次数减少，公务招待人次减少</w:t>
      </w:r>
      <w:r>
        <w:rPr>
          <w:rFonts w:hint="eastAsia" w:ascii="仿宋" w:hAnsi="仿宋" w:eastAsia="仿宋"/>
          <w:color w:val="000000"/>
          <w:sz w:val="32"/>
          <w:highlight w:val="white"/>
          <w:lang w:val="en-US"/>
        </w:rPr>
        <w:t>。</w:t>
      </w:r>
    </w:p>
    <w:p>
      <w:pPr>
        <w:spacing w:line="324" w:lineRule="auto"/>
        <w:ind w:firstLine="594"/>
        <w:rPr>
          <w:rFonts w:hint="eastAsia" w:ascii="仿宋" w:hAnsi="仿宋" w:eastAsia="仿宋"/>
          <w:b/>
          <w:color w:val="000000"/>
          <w:sz w:val="32"/>
          <w:highlight w:val="white"/>
          <w:lang w:val="en-US"/>
        </w:rPr>
      </w:pPr>
      <w:r>
        <w:rPr>
          <w:rFonts w:hint="eastAsia" w:ascii="仿宋" w:hAnsi="仿宋" w:eastAsia="仿宋"/>
          <w:b/>
          <w:color w:val="000000"/>
          <w:sz w:val="32"/>
          <w:highlight w:val="white"/>
          <w:lang w:val="en-US"/>
        </w:rPr>
        <w:t>2.“三公”经费一般公共预算财政拨款支出决算具体情况说明。</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2021年度“三公”经费一般公共预算财政拨款支出决算中，因公出国（境）费用支出决算为0万元，占0%，与2020年度</w:t>
      </w:r>
      <w:r>
        <w:rPr>
          <w:rFonts w:hint="eastAsia" w:ascii="仿宋" w:hAnsi="仿宋" w:eastAsia="仿宋"/>
          <w:color w:val="000000"/>
          <w:sz w:val="32"/>
          <w:highlight w:val="white"/>
          <w:lang w:val="en-US" w:eastAsia="zh-CN"/>
        </w:rPr>
        <w:t>持平</w:t>
      </w:r>
      <w:r>
        <w:rPr>
          <w:rFonts w:hint="eastAsia" w:ascii="仿宋" w:hAnsi="仿宋" w:eastAsia="仿宋"/>
          <w:color w:val="000000"/>
          <w:sz w:val="32"/>
          <w:highlight w:val="white"/>
          <w:lang w:val="en-US"/>
        </w:rPr>
        <w:t>；公务用车购置及运行维护费支出决算为66.53万元，占92.38%，与2020年度相比，增加</w:t>
      </w:r>
      <w:r>
        <w:rPr>
          <w:rFonts w:hint="eastAsia" w:ascii="仿宋" w:hAnsi="仿宋" w:eastAsia="仿宋"/>
          <w:color w:val="000000"/>
          <w:sz w:val="32"/>
          <w:highlight w:val="white"/>
          <w:lang w:val="en-US" w:eastAsia="zh-CN"/>
        </w:rPr>
        <w:t>50.3</w:t>
      </w:r>
      <w:r>
        <w:rPr>
          <w:rFonts w:hint="eastAsia" w:ascii="仿宋" w:hAnsi="仿宋" w:eastAsia="仿宋"/>
          <w:color w:val="000000"/>
          <w:sz w:val="32"/>
          <w:highlight w:val="white"/>
          <w:lang w:val="en-US"/>
        </w:rPr>
        <w:t>万元，增长</w:t>
      </w:r>
      <w:r>
        <w:rPr>
          <w:rFonts w:hint="eastAsia" w:ascii="仿宋" w:hAnsi="仿宋" w:eastAsia="仿宋"/>
          <w:color w:val="000000"/>
          <w:sz w:val="32"/>
          <w:highlight w:val="white"/>
          <w:lang w:val="en-US" w:eastAsia="zh-CN"/>
        </w:rPr>
        <w:t>309.92</w:t>
      </w:r>
      <w:r>
        <w:rPr>
          <w:rFonts w:hint="eastAsia" w:ascii="仿宋" w:hAnsi="仿宋" w:eastAsia="仿宋"/>
          <w:color w:val="000000"/>
          <w:sz w:val="32"/>
          <w:highlight w:val="white"/>
          <w:lang w:val="en-US"/>
        </w:rPr>
        <w:t>%，主要原因是</w:t>
      </w:r>
      <w:r>
        <w:rPr>
          <w:rFonts w:hint="eastAsia" w:ascii="仿宋" w:hAnsi="仿宋" w:eastAsia="仿宋"/>
          <w:color w:val="auto"/>
          <w:sz w:val="32"/>
          <w:highlight w:val="white"/>
        </w:rPr>
        <w:t>因公务用车更新购置2辆，且因执法办案任务多，出差多，公车使用也更为频繁</w:t>
      </w:r>
      <w:r>
        <w:rPr>
          <w:rFonts w:hint="eastAsia" w:ascii="仿宋" w:hAnsi="仿宋" w:eastAsia="仿宋"/>
          <w:color w:val="000000"/>
          <w:sz w:val="32"/>
          <w:highlight w:val="white"/>
          <w:lang w:val="en-US"/>
        </w:rPr>
        <w:t>；公务接待费支出决算为5.49万元，占7.62%，与2020年度相比，减少</w:t>
      </w:r>
      <w:r>
        <w:rPr>
          <w:rFonts w:hint="eastAsia" w:ascii="仿宋" w:hAnsi="仿宋" w:eastAsia="仿宋"/>
          <w:color w:val="000000"/>
          <w:sz w:val="32"/>
          <w:highlight w:val="white"/>
          <w:lang w:val="en-US" w:eastAsia="zh-CN"/>
        </w:rPr>
        <w:t>0.15</w:t>
      </w:r>
      <w:r>
        <w:rPr>
          <w:rFonts w:hint="eastAsia" w:ascii="仿宋" w:hAnsi="仿宋" w:eastAsia="仿宋"/>
          <w:color w:val="000000"/>
          <w:sz w:val="32"/>
          <w:highlight w:val="white"/>
          <w:lang w:val="en-US"/>
        </w:rPr>
        <w:t>万元，下降</w:t>
      </w:r>
      <w:r>
        <w:rPr>
          <w:rFonts w:hint="eastAsia" w:ascii="仿宋" w:hAnsi="仿宋" w:eastAsia="仿宋"/>
          <w:color w:val="000000"/>
          <w:sz w:val="32"/>
          <w:highlight w:val="white"/>
          <w:lang w:val="en-US" w:eastAsia="zh-CN"/>
        </w:rPr>
        <w:t>2.66</w:t>
      </w:r>
      <w:r>
        <w:rPr>
          <w:rFonts w:hint="eastAsia" w:ascii="仿宋" w:hAnsi="仿宋" w:eastAsia="仿宋"/>
          <w:color w:val="000000"/>
          <w:sz w:val="32"/>
          <w:highlight w:val="white"/>
          <w:lang w:val="en-US"/>
        </w:rPr>
        <w:t>%，主要原因是</w:t>
      </w:r>
      <w:r>
        <w:rPr>
          <w:rFonts w:hint="eastAsia" w:ascii="仿宋" w:hAnsi="仿宋" w:eastAsia="仿宋"/>
          <w:color w:val="auto"/>
          <w:sz w:val="32"/>
          <w:highlight w:val="white"/>
        </w:rPr>
        <w:t>受疫情影响，来访人数减少</w:t>
      </w:r>
      <w:r>
        <w:rPr>
          <w:rFonts w:hint="eastAsia" w:ascii="仿宋" w:hAnsi="仿宋" w:eastAsia="仿宋"/>
          <w:color w:val="000000"/>
          <w:sz w:val="32"/>
          <w:highlight w:val="white"/>
          <w:lang w:val="en-US"/>
        </w:rPr>
        <w:t>。具体情况如下：</w:t>
      </w:r>
    </w:p>
    <w:p>
      <w:pPr>
        <w:pStyle w:val="2"/>
        <w:spacing w:line="324" w:lineRule="auto"/>
        <w:ind w:firstLine="600"/>
        <w:rPr>
          <w:rFonts w:hint="eastAsia" w:ascii="仿宋" w:hAnsi="仿宋" w:eastAsia="仿宋"/>
          <w:color w:val="auto"/>
          <w:kern w:val="2"/>
          <w:sz w:val="32"/>
          <w:highlight w:val="white"/>
        </w:rPr>
      </w:pPr>
      <w:r>
        <w:rPr>
          <w:rFonts w:hint="eastAsia" w:ascii="仿宋" w:hAnsi="仿宋" w:eastAsia="仿宋"/>
          <w:b/>
          <w:color w:val="000000"/>
          <w:sz w:val="32"/>
          <w:highlight w:val="white"/>
        </w:rPr>
        <w:t>（1）因公出国（境）费</w:t>
      </w:r>
      <w:r>
        <w:rPr>
          <w:rFonts w:hint="eastAsia" w:ascii="仿宋" w:hAnsi="仿宋" w:eastAsia="仿宋"/>
          <w:color w:val="000000"/>
          <w:sz w:val="32"/>
          <w:highlight w:val="white"/>
        </w:rPr>
        <w:t>预算数为0万元，支出决算为</w:t>
      </w:r>
      <w:r>
        <w:rPr>
          <w:rFonts w:hint="eastAsia" w:ascii="仿宋" w:hAnsi="仿宋" w:eastAsia="仿宋"/>
          <w:color w:val="auto"/>
          <w:sz w:val="30"/>
          <w:highlight w:val="white"/>
          <w:lang w:val="zh-CN"/>
        </w:rPr>
        <w:t>0</w:t>
      </w:r>
      <w:r>
        <w:rPr>
          <w:rFonts w:hint="eastAsia" w:ascii="仿宋" w:hAnsi="仿宋" w:eastAsia="仿宋"/>
          <w:color w:val="000000"/>
          <w:sz w:val="32"/>
          <w:highlight w:val="white"/>
        </w:rPr>
        <w:t>万元。完成预算的0%。</w:t>
      </w:r>
      <w:r>
        <w:rPr>
          <w:rFonts w:hint="eastAsia" w:ascii="仿宋" w:hAnsi="仿宋" w:eastAsia="仿宋"/>
          <w:color w:val="auto"/>
          <w:kern w:val="2"/>
          <w:sz w:val="32"/>
          <w:highlight w:val="white"/>
        </w:rPr>
        <w:t>主要用于机关及下属预算单位人员的审判执行等公务出国（境）的住宿费、国际旅费、培训费、公杂费等支出。决算数等于预算数的主要原因是无因公出国（境）费。全年使用一般公共预算财政拨款支出涉及因公出国(境)团组0个；累计0人次。</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（2）公务用车购置及运行维护费</w:t>
      </w:r>
      <w:r>
        <w:rPr>
          <w:rFonts w:hint="eastAsia" w:ascii="仿宋" w:hAnsi="仿宋" w:eastAsia="仿宋"/>
          <w:color w:val="000000"/>
          <w:sz w:val="32"/>
          <w:highlight w:val="white"/>
          <w:lang w:val="en-US"/>
        </w:rPr>
        <w:t>预算数为</w:t>
      </w:r>
      <w:r>
        <w:rPr>
          <w:rFonts w:hint="eastAsia" w:ascii="仿宋" w:hAnsi="仿宋" w:eastAsia="仿宋"/>
          <w:color w:val="000000"/>
          <w:sz w:val="32"/>
          <w:highlight w:val="white"/>
          <w:lang w:val="en-US" w:eastAsia="zh-CN"/>
        </w:rPr>
        <w:t>66.53</w:t>
      </w:r>
      <w:r>
        <w:rPr>
          <w:rFonts w:hint="eastAsia" w:ascii="仿宋" w:hAnsi="仿宋" w:eastAsia="仿宋"/>
          <w:color w:val="000000"/>
          <w:sz w:val="32"/>
          <w:highlight w:val="white"/>
          <w:lang w:val="en-US"/>
        </w:rPr>
        <w:t>万元，支出决算为66.53万元，完成预算的</w:t>
      </w:r>
      <w:r>
        <w:rPr>
          <w:rFonts w:hint="eastAsia" w:ascii="仿宋" w:hAnsi="仿宋" w:eastAsia="仿宋"/>
          <w:color w:val="000000"/>
          <w:sz w:val="32"/>
          <w:highlight w:val="white"/>
          <w:lang w:val="en-US" w:eastAsia="zh-CN"/>
        </w:rPr>
        <w:t>100</w:t>
      </w:r>
      <w:r>
        <w:rPr>
          <w:rFonts w:hint="eastAsia" w:ascii="仿宋" w:hAnsi="仿宋" w:eastAsia="仿宋"/>
          <w:color w:val="000000"/>
          <w:sz w:val="32"/>
          <w:highlight w:val="white"/>
          <w:lang w:val="en-US"/>
        </w:rPr>
        <w:t>%。</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公务用车购置</w:t>
      </w:r>
      <w:r>
        <w:rPr>
          <w:rFonts w:hint="eastAsia" w:ascii="仿宋" w:hAnsi="仿宋" w:eastAsia="仿宋"/>
          <w:color w:val="000000"/>
          <w:sz w:val="32"/>
          <w:highlight w:val="white"/>
          <w:lang w:val="en-US"/>
        </w:rPr>
        <w:t>预算数为</w:t>
      </w:r>
      <w:r>
        <w:rPr>
          <w:rFonts w:hint="eastAsia" w:ascii="仿宋" w:hAnsi="仿宋" w:eastAsia="仿宋"/>
          <w:color w:val="000000"/>
          <w:sz w:val="32"/>
          <w:highlight w:val="white"/>
          <w:lang w:val="en-US" w:eastAsia="zh-CN"/>
        </w:rPr>
        <w:t>39.42</w:t>
      </w:r>
      <w:r>
        <w:rPr>
          <w:rFonts w:hint="eastAsia" w:ascii="仿宋" w:hAnsi="仿宋" w:eastAsia="仿宋"/>
          <w:color w:val="000000"/>
          <w:sz w:val="32"/>
          <w:highlight w:val="white"/>
          <w:lang w:val="en-US"/>
        </w:rPr>
        <w:t>万元，支出决算为</w:t>
      </w:r>
      <w:r>
        <w:rPr>
          <w:rFonts w:hint="eastAsia" w:ascii="仿宋" w:hAnsi="仿宋" w:eastAsia="仿宋"/>
          <w:color w:val="auto"/>
          <w:sz w:val="30"/>
          <w:highlight w:val="white"/>
          <w:lang w:val="zh-CN"/>
        </w:rPr>
        <w:t>39.42</w:t>
      </w:r>
      <w:r>
        <w:rPr>
          <w:rFonts w:hint="eastAsia" w:ascii="仿宋" w:hAnsi="仿宋" w:eastAsia="仿宋"/>
          <w:color w:val="000000"/>
          <w:sz w:val="32"/>
          <w:highlight w:val="white"/>
          <w:lang w:val="en-US"/>
        </w:rPr>
        <w:t>万元（含购置税等附加费用），完成预算的</w:t>
      </w:r>
      <w:r>
        <w:rPr>
          <w:rFonts w:hint="eastAsia" w:ascii="仿宋" w:hAnsi="仿宋" w:eastAsia="仿宋"/>
          <w:color w:val="000000"/>
          <w:sz w:val="32"/>
          <w:highlight w:val="white"/>
          <w:lang w:val="en-US" w:eastAsia="zh-CN"/>
        </w:rPr>
        <w:t>100</w:t>
      </w:r>
      <w:r>
        <w:rPr>
          <w:rFonts w:hint="eastAsia" w:ascii="仿宋" w:hAnsi="仿宋" w:eastAsia="仿宋"/>
          <w:color w:val="000000"/>
          <w:sz w:val="32"/>
          <w:highlight w:val="white"/>
          <w:lang w:val="en-US"/>
        </w:rPr>
        <w:t>%。</w:t>
      </w:r>
      <w:r>
        <w:rPr>
          <w:rFonts w:hint="eastAsia" w:ascii="仿宋" w:hAnsi="仿宋" w:eastAsia="仿宋"/>
          <w:color w:val="auto"/>
          <w:sz w:val="32"/>
          <w:highlight w:val="white"/>
        </w:rPr>
        <w:t>决算数等于预算数的主要原因是公务用车购置。</w:t>
      </w:r>
      <w:r>
        <w:rPr>
          <w:rFonts w:hint="eastAsia" w:ascii="仿宋" w:hAnsi="仿宋" w:eastAsia="仿宋"/>
          <w:color w:val="000000"/>
          <w:sz w:val="32"/>
          <w:highlight w:val="white"/>
          <w:lang w:val="en-US"/>
        </w:rPr>
        <w:t>主要用于经批准购置的</w:t>
      </w:r>
      <w:r>
        <w:rPr>
          <w:rFonts w:hint="eastAsia" w:ascii="仿宋" w:hAnsi="仿宋" w:eastAsia="仿宋"/>
          <w:color w:val="auto"/>
          <w:sz w:val="30"/>
          <w:highlight w:val="white"/>
          <w:lang w:val="zh-CN"/>
        </w:rPr>
        <w:t>2</w:t>
      </w:r>
      <w:r>
        <w:rPr>
          <w:rFonts w:hint="eastAsia" w:ascii="仿宋" w:hAnsi="仿宋" w:eastAsia="仿宋"/>
          <w:color w:val="000000"/>
          <w:sz w:val="32"/>
          <w:highlight w:val="white"/>
          <w:lang w:val="en-US"/>
        </w:rPr>
        <w:t>辆公务用车；</w:t>
      </w:r>
    </w:p>
    <w:p>
      <w:pPr>
        <w:pStyle w:val="2"/>
        <w:spacing w:line="324" w:lineRule="auto"/>
        <w:ind w:firstLine="600"/>
        <w:rPr>
          <w:rFonts w:hint="eastAsia" w:ascii="仿宋" w:hAnsi="仿宋" w:eastAsia="仿宋"/>
          <w:color w:val="000000"/>
          <w:sz w:val="32"/>
          <w:highlight w:val="white"/>
        </w:rPr>
      </w:pPr>
      <w:r>
        <w:rPr>
          <w:rFonts w:hint="eastAsia" w:ascii="仿宋" w:hAnsi="仿宋" w:eastAsia="仿宋"/>
          <w:b/>
          <w:color w:val="000000"/>
          <w:sz w:val="32"/>
          <w:highlight w:val="white"/>
        </w:rPr>
        <w:t>公务用车运行维护费</w:t>
      </w:r>
      <w:r>
        <w:rPr>
          <w:rFonts w:hint="eastAsia" w:ascii="仿宋" w:hAnsi="仿宋" w:eastAsia="仿宋"/>
          <w:color w:val="000000"/>
          <w:sz w:val="32"/>
          <w:highlight w:val="white"/>
        </w:rPr>
        <w:t>预算数为27.12万元，支出</w:t>
      </w:r>
      <w:r>
        <w:rPr>
          <w:rFonts w:hint="eastAsia" w:ascii="仿宋" w:hAnsi="仿宋" w:eastAsia="仿宋"/>
          <w:color w:val="auto"/>
          <w:sz w:val="30"/>
          <w:highlight w:val="white"/>
          <w:lang w:val="zh-CN"/>
        </w:rPr>
        <w:t>27.12</w:t>
      </w:r>
      <w:r>
        <w:rPr>
          <w:rFonts w:hint="eastAsia" w:ascii="仿宋" w:hAnsi="仿宋" w:eastAsia="仿宋"/>
          <w:color w:val="000000"/>
          <w:sz w:val="32"/>
          <w:highlight w:val="white"/>
        </w:rPr>
        <w:t>万元，完成预算的100%。</w:t>
      </w:r>
      <w:r>
        <w:rPr>
          <w:rFonts w:hint="eastAsia" w:ascii="仿宋" w:hAnsi="仿宋" w:eastAsia="仿宋"/>
          <w:color w:val="auto"/>
          <w:kern w:val="2"/>
          <w:sz w:val="32"/>
          <w:highlight w:val="white"/>
        </w:rPr>
        <w:t>主要用于审判执行等所需的公务用车燃料费、维修费、过路过桥费、保险费、安全奖励费用等支出；2021年度，本级及所属单位开支一般公共预算财政拨款的公务用车保有量为13辆。</w:t>
      </w:r>
    </w:p>
    <w:p>
      <w:pPr>
        <w:pStyle w:val="2"/>
        <w:spacing w:line="324" w:lineRule="auto"/>
        <w:ind w:firstLine="600"/>
        <w:rPr>
          <w:rFonts w:hint="eastAsia" w:ascii="仿宋" w:hAnsi="仿宋" w:eastAsia="仿宋"/>
          <w:color w:val="auto"/>
          <w:kern w:val="2"/>
          <w:sz w:val="32"/>
          <w:highlight w:val="white"/>
        </w:rPr>
      </w:pPr>
      <w:r>
        <w:rPr>
          <w:rFonts w:hint="eastAsia" w:ascii="仿宋" w:hAnsi="仿宋" w:eastAsia="仿宋"/>
          <w:b/>
          <w:color w:val="000000"/>
          <w:sz w:val="32"/>
          <w:highlight w:val="white"/>
        </w:rPr>
        <w:t>（3）公务接待费</w:t>
      </w:r>
      <w:r>
        <w:rPr>
          <w:rFonts w:hint="eastAsia" w:ascii="仿宋" w:hAnsi="仿宋" w:eastAsia="仿宋"/>
          <w:color w:val="auto"/>
          <w:kern w:val="2"/>
          <w:sz w:val="32"/>
          <w:highlight w:val="white"/>
        </w:rPr>
        <w:t>预算数为8万元，支出决算为5.49万元，完成预算的68.63%。主要用于接待审判执行及相关部门来考察等支出，决算数小于预算数，主要原因为疫情原因，来访人数减少，公务接待也减少。全年使用一般公共预算财政拨款国内公务接待78团组，累计501人次。其中：</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b/>
          <w:color w:val="000000"/>
          <w:sz w:val="32"/>
          <w:highlight w:val="white"/>
          <w:lang w:val="en-US"/>
        </w:rPr>
        <w:t>外事接待</w:t>
      </w:r>
      <w:r>
        <w:rPr>
          <w:rFonts w:hint="eastAsia" w:ascii="仿宋" w:hAnsi="仿宋" w:eastAsia="仿宋"/>
          <w:color w:val="000000"/>
          <w:sz w:val="32"/>
          <w:highlight w:val="white"/>
          <w:lang w:val="en-US"/>
        </w:rPr>
        <w:t>支出0万元，接待0批次，累计0人次。</w:t>
      </w:r>
    </w:p>
    <w:p>
      <w:pPr>
        <w:spacing w:line="324" w:lineRule="auto"/>
        <w:ind w:firstLine="594"/>
        <w:rPr>
          <w:rFonts w:hint="eastAsia" w:ascii="仿宋" w:hAnsi="仿宋" w:eastAsia="仿宋"/>
          <w:color w:val="auto"/>
          <w:sz w:val="32"/>
          <w:highlight w:val="white"/>
        </w:rPr>
      </w:pPr>
      <w:r>
        <w:rPr>
          <w:rFonts w:hint="eastAsia" w:ascii="仿宋" w:hAnsi="仿宋" w:eastAsia="仿宋"/>
          <w:b/>
          <w:color w:val="000000"/>
          <w:sz w:val="32"/>
          <w:highlight w:val="white"/>
          <w:lang w:val="en-US"/>
        </w:rPr>
        <w:t>其他国内公务接待</w:t>
      </w:r>
      <w:r>
        <w:rPr>
          <w:rFonts w:hint="eastAsia" w:ascii="仿宋" w:hAnsi="仿宋" w:eastAsia="仿宋"/>
          <w:color w:val="000000"/>
          <w:sz w:val="32"/>
          <w:highlight w:val="white"/>
          <w:lang w:val="en-US"/>
        </w:rPr>
        <w:t>支出5.49万元，</w:t>
      </w:r>
      <w:r>
        <w:rPr>
          <w:rFonts w:hint="eastAsia" w:ascii="仿宋" w:hAnsi="仿宋" w:eastAsia="仿宋"/>
          <w:color w:val="auto"/>
          <w:sz w:val="32"/>
          <w:highlight w:val="white"/>
        </w:rPr>
        <w:t>主要用于各法院间审判执行活动等相关支出，接待78团组，累计501人次。</w:t>
      </w:r>
    </w:p>
    <w:p>
      <w:pPr>
        <w:spacing w:line="324" w:lineRule="auto"/>
        <w:ind w:firstLine="594"/>
        <w:rPr>
          <w:rFonts w:hint="eastAsia" w:ascii="仿宋" w:hAnsi="仿宋" w:eastAsia="仿宋"/>
          <w:color w:val="000000"/>
          <w:sz w:val="32"/>
          <w:highlight w:val="white"/>
          <w:lang w:val="en-US"/>
        </w:rPr>
      </w:pPr>
      <w:r>
        <w:rPr>
          <w:rFonts w:hint="eastAsia" w:ascii="楷体" w:hAnsi="楷体" w:eastAsia="楷体"/>
          <w:b/>
          <w:color w:val="000000"/>
          <w:sz w:val="32"/>
          <w:highlight w:val="white"/>
          <w:lang w:val="en-US"/>
        </w:rPr>
        <w:t>（十）机关运行经费支出说明</w:t>
      </w:r>
    </w:p>
    <w:p>
      <w:pPr>
        <w:pStyle w:val="2"/>
        <w:spacing w:line="324" w:lineRule="auto"/>
        <w:ind w:firstLine="600"/>
        <w:rPr>
          <w:rFonts w:hint="eastAsia" w:ascii="仿宋" w:hAnsi="仿宋" w:eastAsia="仿宋"/>
          <w:color w:val="auto"/>
          <w:kern w:val="2"/>
          <w:sz w:val="32"/>
          <w:highlight w:val="white"/>
        </w:rPr>
      </w:pPr>
      <w:r>
        <w:rPr>
          <w:rFonts w:hint="eastAsia" w:ascii="仿宋" w:hAnsi="仿宋" w:eastAsia="仿宋"/>
          <w:color w:val="auto"/>
          <w:kern w:val="2"/>
          <w:sz w:val="32"/>
          <w:highlight w:val="white"/>
        </w:rPr>
        <w:t>2021年度机关运行经费年初预算数为493.32万元，支出决算为493.32万元，完成年初预算的100%，比2020年度增加29.35万元，增长6.33%，主要原因是本院维修费用、其他商品服务（防疫物资购置等）增加。</w:t>
      </w:r>
    </w:p>
    <w:p>
      <w:pPr>
        <w:spacing w:line="324" w:lineRule="auto"/>
        <w:ind w:firstLine="594"/>
        <w:rPr>
          <w:rFonts w:hint="eastAsia" w:ascii="楷体" w:hAnsi="楷体" w:eastAsia="楷体"/>
          <w:b/>
          <w:color w:val="000000"/>
          <w:sz w:val="32"/>
          <w:highlight w:val="white"/>
          <w:lang w:val="en-US"/>
        </w:rPr>
      </w:pPr>
      <w:r>
        <w:rPr>
          <w:rFonts w:hint="eastAsia" w:ascii="楷体" w:hAnsi="楷体" w:eastAsia="楷体"/>
          <w:b/>
          <w:color w:val="000000"/>
          <w:sz w:val="32"/>
          <w:highlight w:val="white"/>
          <w:lang w:val="en-US"/>
        </w:rPr>
        <w:t>（十一）政府采购支出说明</w:t>
      </w:r>
    </w:p>
    <w:p>
      <w:pPr>
        <w:spacing w:line="324" w:lineRule="auto"/>
        <w:ind w:firstLine="594"/>
        <w:rPr>
          <w:rFonts w:hint="eastAsia" w:ascii="仿宋" w:hAnsi="仿宋" w:eastAsia="仿宋"/>
          <w:color w:val="auto"/>
          <w:sz w:val="32"/>
          <w:highlight w:val="white"/>
          <w:lang w:val="en-US"/>
        </w:rPr>
      </w:pPr>
      <w:r>
        <w:rPr>
          <w:rFonts w:hint="eastAsia" w:ascii="仿宋" w:hAnsi="仿宋" w:eastAsia="仿宋"/>
          <w:color w:val="000000"/>
          <w:sz w:val="32"/>
          <w:highlight w:val="white"/>
          <w:lang w:val="en-US"/>
        </w:rPr>
        <w:t>2021年度政府采购支出总额</w:t>
      </w:r>
      <w:r>
        <w:rPr>
          <w:rFonts w:hint="eastAsia" w:ascii="仿宋" w:hAnsi="仿宋" w:eastAsia="仿宋"/>
          <w:color w:val="auto"/>
          <w:kern w:val="0"/>
          <w:sz w:val="32"/>
          <w:highlight w:val="white"/>
          <w:lang w:val="en-US"/>
        </w:rPr>
        <w:t>240.73</w:t>
      </w:r>
      <w:r>
        <w:rPr>
          <w:rFonts w:hint="eastAsia" w:ascii="仿宋" w:hAnsi="仿宋" w:eastAsia="仿宋"/>
          <w:color w:val="000000"/>
          <w:sz w:val="32"/>
          <w:highlight w:val="white"/>
          <w:lang w:val="en-US"/>
        </w:rPr>
        <w:t>万元，其中：政府采购货物支出</w:t>
      </w:r>
      <w:r>
        <w:rPr>
          <w:rFonts w:hint="eastAsia" w:ascii="仿宋" w:hAnsi="仿宋" w:eastAsia="仿宋"/>
          <w:color w:val="auto"/>
          <w:kern w:val="0"/>
          <w:sz w:val="32"/>
          <w:highlight w:val="white"/>
          <w:lang w:val="en-US"/>
        </w:rPr>
        <w:t>81.67</w:t>
      </w:r>
      <w:r>
        <w:rPr>
          <w:rFonts w:hint="eastAsia" w:ascii="仿宋" w:hAnsi="仿宋" w:eastAsia="仿宋"/>
          <w:color w:val="000000"/>
          <w:sz w:val="32"/>
          <w:highlight w:val="white"/>
          <w:lang w:val="en-US"/>
        </w:rPr>
        <w:t>万元、政府采购工程支出</w:t>
      </w:r>
      <w:r>
        <w:rPr>
          <w:rFonts w:hint="eastAsia" w:ascii="仿宋" w:hAnsi="仿宋" w:eastAsia="仿宋"/>
          <w:color w:val="auto"/>
          <w:kern w:val="0"/>
          <w:sz w:val="32"/>
          <w:highlight w:val="white"/>
          <w:lang w:val="en-US"/>
        </w:rPr>
        <w:t>0</w:t>
      </w:r>
      <w:r>
        <w:rPr>
          <w:rFonts w:hint="eastAsia" w:ascii="仿宋" w:hAnsi="仿宋" w:eastAsia="仿宋"/>
          <w:color w:val="000000"/>
          <w:sz w:val="32"/>
          <w:highlight w:val="white"/>
          <w:lang w:val="en-US"/>
        </w:rPr>
        <w:t>万元、政府采购服务支出</w:t>
      </w:r>
      <w:r>
        <w:rPr>
          <w:rFonts w:hint="eastAsia" w:ascii="仿宋" w:hAnsi="仿宋" w:eastAsia="仿宋"/>
          <w:color w:val="auto"/>
          <w:kern w:val="0"/>
          <w:sz w:val="32"/>
          <w:highlight w:val="white"/>
          <w:lang w:val="en-US"/>
        </w:rPr>
        <w:t>159.06</w:t>
      </w:r>
      <w:r>
        <w:rPr>
          <w:rFonts w:hint="eastAsia" w:ascii="仿宋" w:hAnsi="仿宋" w:eastAsia="仿宋"/>
          <w:color w:val="000000"/>
          <w:sz w:val="32"/>
          <w:highlight w:val="white"/>
          <w:lang w:val="en-US"/>
        </w:rPr>
        <w:t>万元。</w:t>
      </w:r>
      <w:r>
        <w:rPr>
          <w:rFonts w:hint="eastAsia" w:ascii="仿宋" w:hAnsi="仿宋" w:eastAsia="仿宋"/>
          <w:color w:val="auto"/>
          <w:sz w:val="32"/>
          <w:highlight w:val="white"/>
          <w:lang w:val="en-US"/>
        </w:rPr>
        <w:t>授予中小企业合同金额</w:t>
      </w:r>
      <w:r>
        <w:rPr>
          <w:rFonts w:hint="eastAsia" w:ascii="仿宋" w:hAnsi="仿宋" w:eastAsia="仿宋"/>
          <w:color w:val="auto"/>
          <w:kern w:val="0"/>
          <w:sz w:val="32"/>
          <w:highlight w:val="white"/>
          <w:lang w:val="en-US"/>
        </w:rPr>
        <w:t>161.03</w:t>
      </w:r>
      <w:r>
        <w:rPr>
          <w:rFonts w:hint="eastAsia" w:ascii="仿宋" w:hAnsi="仿宋" w:eastAsia="仿宋"/>
          <w:color w:val="auto"/>
          <w:sz w:val="32"/>
          <w:highlight w:val="white"/>
          <w:lang w:val="en-US"/>
        </w:rPr>
        <w:t>万元，占政府采购支出总额的</w:t>
      </w:r>
      <w:r>
        <w:rPr>
          <w:rFonts w:hint="eastAsia" w:ascii="仿宋" w:hAnsi="仿宋" w:eastAsia="仿宋"/>
          <w:color w:val="auto"/>
          <w:kern w:val="0"/>
          <w:sz w:val="32"/>
          <w:highlight w:val="white"/>
          <w:lang w:val="en-US"/>
        </w:rPr>
        <w:t>66.89</w:t>
      </w:r>
      <w:r>
        <w:rPr>
          <w:rFonts w:hint="eastAsia" w:ascii="仿宋" w:hAnsi="仿宋" w:eastAsia="仿宋"/>
          <w:color w:val="auto"/>
          <w:sz w:val="32"/>
          <w:highlight w:val="white"/>
          <w:lang w:val="en-US"/>
        </w:rPr>
        <w:t>%。</w:t>
      </w:r>
      <w:r>
        <w:rPr>
          <w:rFonts w:hint="eastAsia" w:ascii="仿宋" w:hAnsi="仿宋" w:eastAsia="仿宋"/>
          <w:color w:val="000000"/>
          <w:sz w:val="32"/>
          <w:highlight w:val="white"/>
          <w:lang w:val="en-US"/>
        </w:rPr>
        <w:t>其中，授予小微企业合同金额</w:t>
      </w:r>
      <w:r>
        <w:rPr>
          <w:rFonts w:hint="eastAsia" w:ascii="仿宋" w:hAnsi="仿宋" w:eastAsia="仿宋"/>
          <w:color w:val="auto"/>
          <w:kern w:val="0"/>
          <w:sz w:val="32"/>
          <w:highlight w:val="white"/>
          <w:lang w:val="en-US"/>
        </w:rPr>
        <w:t>161.03</w:t>
      </w:r>
      <w:r>
        <w:rPr>
          <w:rFonts w:hint="eastAsia" w:ascii="仿宋" w:hAnsi="仿宋" w:eastAsia="仿宋"/>
          <w:color w:val="000000"/>
          <w:sz w:val="32"/>
          <w:highlight w:val="white"/>
          <w:lang w:val="en-US"/>
        </w:rPr>
        <w:t>万元，</w:t>
      </w:r>
      <w:r>
        <w:rPr>
          <w:rFonts w:hint="eastAsia" w:ascii="仿宋" w:hAnsi="仿宋" w:eastAsia="仿宋"/>
          <w:color w:val="auto"/>
          <w:sz w:val="32"/>
          <w:highlight w:val="white"/>
          <w:lang w:val="en-US"/>
        </w:rPr>
        <w:t>占授予中小企业合同金额</w:t>
      </w:r>
      <w:r>
        <w:rPr>
          <w:rFonts w:hint="eastAsia" w:ascii="仿宋" w:hAnsi="仿宋" w:eastAsia="仿宋"/>
          <w:color w:val="000000"/>
          <w:sz w:val="32"/>
          <w:highlight w:val="white"/>
          <w:lang w:val="en-US"/>
        </w:rPr>
        <w:t>的</w:t>
      </w:r>
      <w:r>
        <w:rPr>
          <w:rFonts w:hint="eastAsia" w:ascii="仿宋" w:hAnsi="仿宋" w:eastAsia="仿宋"/>
          <w:color w:val="auto"/>
          <w:kern w:val="0"/>
          <w:sz w:val="32"/>
          <w:highlight w:val="white"/>
          <w:lang w:val="en-US"/>
        </w:rPr>
        <w:t>100</w:t>
      </w:r>
      <w:r>
        <w:rPr>
          <w:rFonts w:hint="eastAsia" w:ascii="仿宋" w:hAnsi="仿宋" w:eastAsia="仿宋"/>
          <w:color w:val="auto"/>
          <w:sz w:val="32"/>
          <w:highlight w:val="white"/>
          <w:lang w:val="en-US"/>
        </w:rPr>
        <w:t>%；货物采购授予中小企业合同金额占货物支出金额的</w:t>
      </w:r>
      <w:r>
        <w:rPr>
          <w:rFonts w:hint="eastAsia" w:ascii="仿宋" w:hAnsi="仿宋" w:eastAsia="仿宋"/>
          <w:color w:val="000000"/>
          <w:sz w:val="32"/>
          <w:highlight w:val="white"/>
          <w:lang w:val="en-US" w:eastAsia="zh-CN"/>
        </w:rPr>
        <w:t>50.72</w:t>
      </w:r>
      <w:r>
        <w:rPr>
          <w:rFonts w:hint="eastAsia" w:ascii="仿宋" w:hAnsi="仿宋" w:eastAsia="仿宋"/>
          <w:color w:val="auto"/>
          <w:sz w:val="32"/>
          <w:highlight w:val="white"/>
          <w:lang w:val="en-US"/>
        </w:rPr>
        <w:t>%，工程采购授予中小企业合同金额占工程支出金额的</w:t>
      </w:r>
      <w:r>
        <w:rPr>
          <w:rFonts w:hint="eastAsia" w:ascii="仿宋" w:hAnsi="仿宋" w:eastAsia="仿宋"/>
          <w:color w:val="000000"/>
          <w:sz w:val="32"/>
          <w:highlight w:val="white"/>
          <w:lang w:val="en-US" w:eastAsia="zh-CN"/>
        </w:rPr>
        <w:t>0</w:t>
      </w:r>
      <w:r>
        <w:rPr>
          <w:rFonts w:hint="eastAsia" w:ascii="仿宋" w:hAnsi="仿宋" w:eastAsia="仿宋"/>
          <w:color w:val="auto"/>
          <w:sz w:val="32"/>
          <w:highlight w:val="white"/>
          <w:lang w:val="en-US"/>
        </w:rPr>
        <w:t>%，服务采购授予中小企业合同金额占服务支出金额的</w:t>
      </w:r>
      <w:r>
        <w:rPr>
          <w:rFonts w:hint="eastAsia" w:ascii="仿宋" w:hAnsi="仿宋" w:eastAsia="仿宋"/>
          <w:color w:val="000000"/>
          <w:sz w:val="32"/>
          <w:highlight w:val="white"/>
          <w:lang w:val="en-US" w:eastAsia="zh-CN"/>
        </w:rPr>
        <w:t>49.28</w:t>
      </w:r>
      <w:r>
        <w:rPr>
          <w:rFonts w:hint="eastAsia" w:ascii="仿宋" w:hAnsi="仿宋" w:eastAsia="仿宋"/>
          <w:color w:val="auto"/>
          <w:sz w:val="32"/>
          <w:highlight w:val="white"/>
          <w:lang w:val="en-US"/>
        </w:rPr>
        <w:t>%</w:t>
      </w:r>
      <w:r>
        <w:rPr>
          <w:rFonts w:hint="eastAsia" w:ascii="仿宋" w:hAnsi="仿宋" w:eastAsia="仿宋"/>
          <w:color w:val="000000"/>
          <w:sz w:val="32"/>
          <w:highlight w:val="white"/>
          <w:lang w:val="en-US"/>
        </w:rPr>
        <w:t>。</w:t>
      </w:r>
    </w:p>
    <w:p>
      <w:pPr>
        <w:spacing w:line="324" w:lineRule="auto"/>
        <w:ind w:firstLine="594"/>
        <w:rPr>
          <w:rFonts w:hint="eastAsia" w:ascii="楷体" w:hAnsi="楷体" w:eastAsia="楷体"/>
          <w:b/>
          <w:color w:val="000000"/>
          <w:sz w:val="32"/>
          <w:highlight w:val="white"/>
          <w:lang w:val="en-US"/>
        </w:rPr>
      </w:pPr>
      <w:r>
        <w:rPr>
          <w:rFonts w:hint="eastAsia" w:ascii="楷体" w:hAnsi="楷体" w:eastAsia="楷体"/>
          <w:b/>
          <w:color w:val="000000"/>
          <w:sz w:val="32"/>
          <w:highlight w:val="white"/>
          <w:lang w:val="en-US"/>
        </w:rPr>
        <w:t>（十二）国有资产占有情况说明</w:t>
      </w:r>
    </w:p>
    <w:p>
      <w:pPr>
        <w:pStyle w:val="2"/>
        <w:spacing w:line="324" w:lineRule="auto"/>
        <w:ind w:firstLine="600"/>
        <w:rPr>
          <w:rFonts w:hint="eastAsia" w:ascii="楷体" w:hAnsi="楷体" w:eastAsia="楷体"/>
          <w:b/>
          <w:color w:val="000000"/>
          <w:sz w:val="32"/>
          <w:highlight w:val="white"/>
        </w:rPr>
      </w:pPr>
      <w:r>
        <w:rPr>
          <w:rFonts w:hint="eastAsia" w:ascii="仿宋" w:hAnsi="仿宋" w:eastAsia="仿宋"/>
          <w:color w:val="auto"/>
          <w:kern w:val="2"/>
          <w:sz w:val="32"/>
          <w:highlight w:val="white"/>
        </w:rPr>
        <w:t>截至2021年12月31日，区法院本级及所属各部门共有车辆18辆，其中，副部（省）级及以上领导用车0辆、主要领导干部用车0辆、机要通信用车0辆、应急保障用车0辆、执法执勤用车14辆、特种专业技术用车0辆、离退休干部用车0辆、其他用车4辆,其他用车主要是划拨区公安车辆未转走；单价50万元以上通用设备0台（套），单价100万元以上专用设备0台（套）。 </w:t>
      </w:r>
      <w:r>
        <w:rPr>
          <w:rFonts w:hint="eastAsia" w:ascii="仿宋_GB2312" w:hAnsi="仿宋_GB2312" w:eastAsia="仿宋_GB2312"/>
          <w:color w:val="000000"/>
          <w:sz w:val="32"/>
          <w:highlight w:val="white"/>
        </w:rPr>
        <w:t xml:space="preserve"> </w:t>
      </w:r>
    </w:p>
    <w:p>
      <w:pPr>
        <w:spacing w:line="324" w:lineRule="auto"/>
        <w:ind w:firstLine="594"/>
        <w:rPr>
          <w:rFonts w:hint="eastAsia" w:ascii="仿宋" w:hAnsi="仿宋" w:eastAsia="仿宋"/>
          <w:color w:val="000000"/>
          <w:sz w:val="32"/>
          <w:highlight w:val="white"/>
          <w:lang w:val="en-US"/>
        </w:rPr>
      </w:pPr>
      <w:r>
        <w:rPr>
          <w:rFonts w:hint="eastAsia" w:ascii="楷体" w:hAnsi="楷体" w:eastAsia="楷体"/>
          <w:b/>
          <w:color w:val="000000"/>
          <w:sz w:val="32"/>
          <w:highlight w:val="white"/>
          <w:lang w:val="en-US"/>
        </w:rPr>
        <w:t>（十三）预算绩效情况说明</w:t>
      </w:r>
    </w:p>
    <w:p>
      <w:pPr>
        <w:pStyle w:val="2"/>
        <w:spacing w:line="324" w:lineRule="auto"/>
        <w:ind w:firstLine="600"/>
        <w:rPr>
          <w:rFonts w:hint="eastAsia" w:ascii="仿宋" w:hAnsi="仿宋" w:eastAsia="仿宋"/>
          <w:b/>
          <w:color w:val="auto"/>
          <w:kern w:val="2"/>
          <w:sz w:val="32"/>
          <w:highlight w:val="white"/>
        </w:rPr>
      </w:pPr>
      <w:r>
        <w:rPr>
          <w:rFonts w:hint="eastAsia" w:ascii="仿宋" w:hAnsi="仿宋" w:eastAsia="仿宋"/>
          <w:b/>
          <w:color w:val="auto"/>
          <w:kern w:val="2"/>
          <w:sz w:val="32"/>
          <w:highlight w:val="white"/>
        </w:rPr>
        <w:t>1.预算绩效管理工作开展情况。</w:t>
      </w:r>
    </w:p>
    <w:p>
      <w:pPr>
        <w:pStyle w:val="2"/>
        <w:spacing w:line="324" w:lineRule="auto"/>
        <w:ind w:firstLine="600"/>
        <w:rPr>
          <w:rFonts w:hint="eastAsia" w:ascii="仿宋" w:hAnsi="仿宋" w:eastAsia="仿宋"/>
          <w:color w:val="auto"/>
          <w:kern w:val="2"/>
          <w:sz w:val="32"/>
          <w:highlight w:val="white"/>
        </w:rPr>
      </w:pPr>
      <w:r>
        <w:rPr>
          <w:rFonts w:hint="eastAsia" w:ascii="仿宋" w:hAnsi="仿宋" w:eastAsia="仿宋"/>
          <w:color w:val="auto"/>
          <w:kern w:val="2"/>
          <w:sz w:val="32"/>
          <w:highlight w:val="white"/>
        </w:rPr>
        <w:t>根据预算绩效管理要求，本院组织对2021年度一般公共预算项目支出全面开展绩效自评，其中，二级项目12个，共涉及资金1000.02万元，占一般公共预算项目支出总额的100%。本年无政府性基金预算项目，本年无国有资本经营预算项目。</w:t>
      </w:r>
    </w:p>
    <w:p>
      <w:pPr>
        <w:pStyle w:val="2"/>
        <w:spacing w:line="324" w:lineRule="auto"/>
        <w:ind w:firstLine="600"/>
        <w:rPr>
          <w:rFonts w:hint="eastAsia" w:ascii="仿宋" w:hAnsi="仿宋" w:eastAsia="仿宋"/>
          <w:color w:val="auto"/>
          <w:kern w:val="2"/>
          <w:sz w:val="32"/>
          <w:highlight w:val="white"/>
        </w:rPr>
      </w:pPr>
      <w:r>
        <w:rPr>
          <w:rFonts w:hint="eastAsia" w:ascii="仿宋" w:hAnsi="仿宋" w:eastAsia="仿宋"/>
          <w:color w:val="auto"/>
          <w:kern w:val="2"/>
          <w:sz w:val="32"/>
          <w:highlight w:val="white"/>
        </w:rPr>
        <w:t>组织对“省补办案（业务）经费”“省级诉讼费统筹”“举报被执行人奖励专项资金”“破产管理人基金”“区补物业管理费”“市区执行一体化专项经费”“政法云资源使用费”“智慧法庭建设”“省补业务装备经费”“省补统筹诉讼费（办案业务费）”“省补诉讼费统筹资金（装备经费）”“省补诉讼费统筹资金(破产援助资金)”等12个项目开展了部门评价，涉及一般公共预算支出1000.2万元，政府性基金预算支出0万元，国有资本经营预算支出0万元。从评价情况来看，本院12个项目中，自评优秀的为10个项目，良好的为1个项目，不合格的为1个项目（不合格项目“举报被执行人奖励专项资金”支出率较低主要原因是受疫情影响，举报被执行人情况较少，故支出也较少）。</w:t>
      </w:r>
    </w:p>
    <w:p>
      <w:pPr>
        <w:pStyle w:val="2"/>
        <w:spacing w:line="324" w:lineRule="auto"/>
        <w:ind w:firstLine="600"/>
        <w:rPr>
          <w:rFonts w:hint="eastAsia" w:ascii="仿宋" w:hAnsi="仿宋" w:eastAsia="仿宋"/>
          <w:color w:val="auto"/>
          <w:kern w:val="2"/>
          <w:sz w:val="32"/>
          <w:highlight w:val="white"/>
        </w:rPr>
      </w:pPr>
      <w:r>
        <w:rPr>
          <w:rFonts w:hint="eastAsia" w:ascii="仿宋" w:hAnsi="仿宋" w:eastAsia="仿宋"/>
          <w:color w:val="auto"/>
          <w:kern w:val="2"/>
          <w:sz w:val="32"/>
          <w:highlight w:val="white"/>
        </w:rPr>
        <w:t>本年无下属部门整体支出绩效评价。</w:t>
      </w:r>
    </w:p>
    <w:p>
      <w:pPr>
        <w:pStyle w:val="2"/>
        <w:spacing w:line="324" w:lineRule="auto"/>
        <w:ind w:firstLine="600"/>
        <w:rPr>
          <w:rFonts w:hint="eastAsia" w:ascii="仿宋" w:hAnsi="仿宋" w:eastAsia="仿宋"/>
          <w:b/>
          <w:color w:val="auto"/>
          <w:kern w:val="2"/>
          <w:sz w:val="32"/>
          <w:highlight w:val="white"/>
        </w:rPr>
      </w:pPr>
      <w:r>
        <w:rPr>
          <w:rFonts w:hint="eastAsia" w:ascii="仿宋" w:hAnsi="仿宋" w:eastAsia="仿宋"/>
          <w:b/>
          <w:color w:val="auto"/>
          <w:kern w:val="2"/>
          <w:sz w:val="32"/>
          <w:highlight w:val="white"/>
        </w:rPr>
        <w:t>2.单位决算中项目绩效自评结果</w:t>
      </w:r>
    </w:p>
    <w:p>
      <w:pPr>
        <w:pStyle w:val="2"/>
        <w:spacing w:line="324" w:lineRule="auto"/>
        <w:ind w:firstLine="600"/>
        <w:rPr>
          <w:rFonts w:hint="eastAsia" w:ascii="仿宋" w:hAnsi="仿宋" w:eastAsia="仿宋"/>
          <w:color w:val="auto"/>
          <w:kern w:val="2"/>
          <w:sz w:val="32"/>
          <w:highlight w:val="white"/>
        </w:rPr>
      </w:pPr>
      <w:r>
        <w:rPr>
          <w:rFonts w:hint="eastAsia" w:ascii="仿宋" w:hAnsi="仿宋" w:eastAsia="仿宋"/>
          <w:color w:val="auto"/>
          <w:kern w:val="2"/>
          <w:sz w:val="32"/>
          <w:highlight w:val="white"/>
        </w:rPr>
        <w:t>莲都区人民法院在2021年度部门决算中反映“区补物业管理费”及“市区执行一体化专项经费”两个绩效自评结果。</w:t>
      </w:r>
    </w:p>
    <w:p>
      <w:pPr>
        <w:spacing w:line="520" w:lineRule="exact"/>
        <w:ind w:firstLine="614" w:firstLineChars="192"/>
        <w:rPr>
          <w:rFonts w:hint="eastAsia" w:ascii="仿宋" w:hAnsi="仿宋" w:eastAsia="仿宋"/>
          <w:color w:val="auto"/>
          <w:sz w:val="32"/>
          <w:highlight w:val="white"/>
          <w:lang w:val="en-US" w:eastAsia="zh-CN"/>
        </w:rPr>
      </w:pPr>
      <w:r>
        <w:rPr>
          <w:rFonts w:hint="eastAsia" w:ascii="仿宋" w:hAnsi="仿宋" w:eastAsia="仿宋"/>
          <w:color w:val="auto"/>
          <w:sz w:val="32"/>
          <w:highlight w:val="white"/>
          <w:lang w:eastAsia="zh-CN"/>
        </w:rPr>
        <w:t>区补物业管理费项目</w:t>
      </w:r>
      <w:r>
        <w:rPr>
          <w:rFonts w:hint="eastAsia" w:ascii="仿宋" w:hAnsi="仿宋" w:eastAsia="仿宋"/>
          <w:color w:val="auto"/>
          <w:sz w:val="32"/>
          <w:highlight w:val="white"/>
          <w:lang w:val="en-US" w:eastAsia="zh-CN"/>
        </w:rPr>
        <w:t>绩效自评综述：根据年初设定的绩效目标，项目自评得分10分，自评结论为“优秀”。2021年区补物业管理费年初预算数为130.62万元，支出130.62万元，执行率达到100%。其中：物业管理费130.62万元。目标完成情况：有力保障了审判、执行业务正常运转，提供了良好的安保服务、保洁服务及伙食服务。</w:t>
      </w:r>
      <w:r>
        <w:rPr>
          <w:rFonts w:hint="eastAsia" w:ascii="仿宋" w:hAnsi="仿宋" w:eastAsia="仿宋"/>
          <w:color w:val="auto"/>
          <w:sz w:val="32"/>
          <w:highlight w:val="white"/>
        </w:rPr>
        <w:t>发现的问题及原因：</w:t>
      </w:r>
      <w:r>
        <w:rPr>
          <w:rFonts w:hint="eastAsia" w:ascii="仿宋" w:hAnsi="仿宋" w:eastAsia="仿宋"/>
          <w:color w:val="auto"/>
          <w:sz w:val="32"/>
          <w:highlight w:val="white"/>
          <w:lang w:eastAsia="zh-CN"/>
        </w:rPr>
        <w:t>物业管理服务上，安保人员服务还有待加强。下一步措施：强化安保人员考核，完善安保服务。</w:t>
      </w:r>
    </w:p>
    <w:p>
      <w:pPr>
        <w:spacing w:line="520" w:lineRule="exact"/>
        <w:ind w:firstLine="614" w:firstLineChars="192"/>
        <w:rPr>
          <w:rFonts w:hint="eastAsia" w:ascii="仿宋" w:hAnsi="仿宋" w:eastAsia="仿宋"/>
          <w:color w:val="auto"/>
          <w:sz w:val="32"/>
          <w:highlight w:val="white"/>
          <w:lang w:val="en-US" w:eastAsia="zh-CN"/>
        </w:rPr>
      </w:pPr>
    </w:p>
    <w:tbl>
      <w:tblPr>
        <w:tblStyle w:val="3"/>
        <w:tblW w:w="792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602"/>
        <w:gridCol w:w="905"/>
        <w:gridCol w:w="1075"/>
        <w:gridCol w:w="538"/>
        <w:gridCol w:w="171"/>
        <w:gridCol w:w="1079"/>
        <w:gridCol w:w="299"/>
        <w:gridCol w:w="61"/>
        <w:gridCol w:w="907"/>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920" w:type="dxa"/>
            <w:gridSpan w:val="11"/>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line="440" w:lineRule="exact"/>
              <w:jc w:val="center"/>
              <w:rPr>
                <w:rFonts w:hint="eastAsia" w:ascii="仿宋_GB2312" w:eastAsia="仿宋_GB2312"/>
                <w:b/>
                <w:sz w:val="28"/>
              </w:rPr>
            </w:pPr>
            <w:r>
              <w:rPr>
                <w:rFonts w:hint="eastAsia" w:ascii="仿宋_GB2312" w:eastAsia="仿宋_GB2312"/>
                <w:b/>
                <w:sz w:val="28"/>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45"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line="440" w:lineRule="exact"/>
              <w:rPr>
                <w:rFonts w:hint="eastAsia" w:ascii="仿宋_GB2312" w:eastAsia="仿宋_GB2312"/>
                <w:sz w:val="28"/>
              </w:rPr>
            </w:pPr>
            <w:r>
              <w:rPr>
                <w:rFonts w:hint="eastAsia" w:ascii="仿宋_GB2312" w:eastAsia="仿宋_GB2312"/>
                <w:sz w:val="28"/>
              </w:rPr>
              <w:t>项目负责人</w:t>
            </w:r>
          </w:p>
        </w:tc>
        <w:tc>
          <w:tcPr>
            <w:tcW w:w="1784"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line="440" w:lineRule="exact"/>
              <w:rPr>
                <w:rFonts w:hint="eastAsia" w:ascii="仿宋_GB2312" w:eastAsia="仿宋_GB2312"/>
                <w:sz w:val="28"/>
              </w:rPr>
            </w:pPr>
            <w:r>
              <w:rPr>
                <w:rFonts w:hint="eastAsia" w:ascii="仿宋_GB2312" w:eastAsia="仿宋_GB2312"/>
                <w:sz w:val="28"/>
              </w:rPr>
              <w:t>熊剑</w:t>
            </w:r>
          </w:p>
        </w:tc>
        <w:tc>
          <w:tcPr>
            <w:tcW w:w="1439"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line="440" w:lineRule="exact"/>
              <w:rPr>
                <w:rFonts w:hint="eastAsia" w:ascii="仿宋_GB2312" w:eastAsia="仿宋_GB2312"/>
                <w:sz w:val="28"/>
              </w:rPr>
            </w:pPr>
            <w:r>
              <w:rPr>
                <w:rFonts w:hint="eastAsia" w:ascii="仿宋_GB2312" w:eastAsia="仿宋_GB2312"/>
                <w:sz w:val="28"/>
              </w:rPr>
              <w:t>联系电话</w:t>
            </w:r>
          </w:p>
        </w:tc>
        <w:tc>
          <w:tcPr>
            <w:tcW w:w="2352"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line="440" w:lineRule="exact"/>
              <w:rPr>
                <w:rFonts w:hint="eastAsia" w:ascii="仿宋_GB2312" w:eastAsia="仿宋_GB2312"/>
                <w:sz w:val="28"/>
              </w:rPr>
            </w:pPr>
            <w:r>
              <w:rPr>
                <w:rFonts w:hint="eastAsia" w:ascii="仿宋_GB2312" w:eastAsia="仿宋_GB2312"/>
                <w:sz w:val="28"/>
              </w:rPr>
              <w:t>2264103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2345"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line="440" w:lineRule="exact"/>
              <w:rPr>
                <w:rFonts w:hint="eastAsia" w:ascii="仿宋_GB2312" w:eastAsia="仿宋_GB2312"/>
                <w:sz w:val="28"/>
              </w:rPr>
            </w:pPr>
            <w:r>
              <w:rPr>
                <w:rFonts w:hint="eastAsia" w:ascii="仿宋_GB2312" w:eastAsia="仿宋_GB2312"/>
                <w:sz w:val="28"/>
              </w:rPr>
              <w:t>地     址</w:t>
            </w:r>
          </w:p>
        </w:tc>
        <w:tc>
          <w:tcPr>
            <w:tcW w:w="3223" w:type="dxa"/>
            <w:gridSpan w:val="6"/>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line="440" w:lineRule="exact"/>
              <w:rPr>
                <w:rFonts w:hint="eastAsia" w:ascii="仿宋_GB2312" w:eastAsia="仿宋_GB2312"/>
                <w:sz w:val="28"/>
              </w:rPr>
            </w:pPr>
            <w:r>
              <w:rPr>
                <w:rFonts w:hint="eastAsia" w:ascii="仿宋_GB2312" w:eastAsia="仿宋_GB2312"/>
                <w:sz w:val="28"/>
              </w:rPr>
              <w:t>括苍路123号</w:t>
            </w:r>
          </w:p>
        </w:tc>
        <w:tc>
          <w:tcPr>
            <w:tcW w:w="907"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line="440" w:lineRule="exact"/>
              <w:rPr>
                <w:rFonts w:hint="eastAsia" w:ascii="仿宋_GB2312" w:eastAsia="仿宋_GB2312"/>
                <w:sz w:val="28"/>
              </w:rPr>
            </w:pPr>
            <w:r>
              <w:rPr>
                <w:rFonts w:hint="eastAsia" w:ascii="仿宋_GB2312" w:eastAsia="仿宋_GB2312"/>
                <w:sz w:val="28"/>
              </w:rPr>
              <w:t>邮编</w:t>
            </w:r>
          </w:p>
        </w:tc>
        <w:tc>
          <w:tcPr>
            <w:tcW w:w="1445"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line="440" w:lineRule="exact"/>
              <w:rPr>
                <w:rFonts w:hint="eastAsia" w:ascii="仿宋_GB2312" w:eastAsia="仿宋_GB2312"/>
                <w:sz w:val="28"/>
              </w:rPr>
            </w:pPr>
            <w:r>
              <w:rPr>
                <w:rFonts w:hint="eastAsia" w:ascii="仿宋_GB2312" w:eastAsia="仿宋_GB2312"/>
                <w:sz w:val="28"/>
              </w:rPr>
              <w:t>323000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2345"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line="440" w:lineRule="exact"/>
              <w:rPr>
                <w:rFonts w:hint="eastAsia" w:ascii="仿宋_GB2312" w:eastAsia="仿宋_GB2312"/>
                <w:sz w:val="28"/>
              </w:rPr>
            </w:pPr>
            <w:r>
              <w:rPr>
                <w:rFonts w:hint="eastAsia" w:ascii="仿宋_GB2312" w:eastAsia="仿宋_GB2312"/>
                <w:sz w:val="28"/>
              </w:rPr>
              <w:t>项目起止时间</w:t>
            </w:r>
          </w:p>
        </w:tc>
        <w:tc>
          <w:tcPr>
            <w:tcW w:w="5575" w:type="dxa"/>
            <w:gridSpan w:val="8"/>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line="440" w:lineRule="exact"/>
              <w:jc w:val="center"/>
              <w:rPr>
                <w:rFonts w:hint="eastAsia" w:ascii="仿宋_GB2312" w:eastAsia="仿宋_GB2312"/>
                <w:sz w:val="32"/>
              </w:rPr>
            </w:pPr>
            <w:r>
              <w:rPr>
                <w:rFonts w:hint="eastAsia" w:ascii="仿宋_GB2312" w:eastAsia="仿宋_GB2312"/>
                <w:sz w:val="32"/>
              </w:rPr>
              <w:t>202</w:t>
            </w:r>
            <w:r>
              <w:rPr>
                <w:rFonts w:hint="eastAsia" w:ascii="仿宋_GB2312" w:eastAsia="仿宋_GB2312"/>
                <w:sz w:val="32"/>
                <w:lang w:val="en-US" w:eastAsia="zh-CN"/>
              </w:rPr>
              <w:t>1</w:t>
            </w:r>
            <w:r>
              <w:rPr>
                <w:rFonts w:hint="eastAsia" w:ascii="仿宋_GB2312" w:eastAsia="仿宋_GB2312"/>
                <w:sz w:val="32"/>
              </w:rPr>
              <w:t>年1月1日～202</w:t>
            </w:r>
            <w:r>
              <w:rPr>
                <w:rFonts w:hint="eastAsia" w:ascii="仿宋_GB2312" w:eastAsia="仿宋_GB2312"/>
                <w:sz w:val="32"/>
                <w:lang w:val="en-US" w:eastAsia="zh-CN"/>
              </w:rPr>
              <w:t>1</w:t>
            </w:r>
            <w:r>
              <w:rPr>
                <w:rFonts w:hint="eastAsia" w:ascii="仿宋_GB2312" w:eastAsia="仿宋_GB2312"/>
                <w:sz w:val="32"/>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4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rPr>
                <w:rFonts w:hint="eastAsia" w:ascii="仿宋_GB2312" w:eastAsia="仿宋_GB2312"/>
                <w:sz w:val="21"/>
              </w:rPr>
            </w:pPr>
            <w:r>
              <w:rPr>
                <w:rFonts w:hint="eastAsia" w:ascii="仿宋_GB2312" w:eastAsia="仿宋_GB2312"/>
                <w:sz w:val="24"/>
              </w:rPr>
              <w:t>预算金额</w:t>
            </w:r>
            <w:r>
              <w:rPr>
                <w:rFonts w:hint="eastAsia" w:ascii="仿宋_GB2312" w:eastAsia="仿宋_GB2312"/>
                <w:sz w:val="21"/>
              </w:rPr>
              <w:t>（万元）</w:t>
            </w:r>
          </w:p>
        </w:tc>
        <w:tc>
          <w:tcPr>
            <w:tcW w:w="178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rPr>
                <w:rFonts w:hint="eastAsia" w:ascii="仿宋_GB2312" w:eastAsia="仿宋_GB2312"/>
                <w:sz w:val="28"/>
                <w:lang w:val="en-US" w:eastAsia="zh-CN"/>
              </w:rPr>
            </w:pPr>
            <w:r>
              <w:rPr>
                <w:rFonts w:hint="eastAsia" w:ascii="仿宋_GB2312" w:eastAsia="仿宋_GB2312"/>
                <w:sz w:val="28"/>
                <w:lang w:val="en-US" w:eastAsia="zh-CN"/>
              </w:rPr>
              <w:t>130.62</w:t>
            </w:r>
          </w:p>
        </w:tc>
        <w:tc>
          <w:tcPr>
            <w:tcW w:w="2346" w:type="dxa"/>
            <w:gridSpan w:val="4"/>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rPr>
                <w:rFonts w:hint="eastAsia" w:ascii="仿宋_GB2312" w:eastAsia="仿宋_GB2312"/>
                <w:sz w:val="24"/>
              </w:rPr>
            </w:pPr>
            <w:r>
              <w:rPr>
                <w:rFonts w:hint="eastAsia" w:ascii="仿宋_GB2312" w:eastAsia="仿宋_GB2312"/>
                <w:sz w:val="24"/>
              </w:rPr>
              <w:t>实际支出金额</w:t>
            </w:r>
            <w:r>
              <w:rPr>
                <w:rFonts w:hint="eastAsia" w:ascii="仿宋_GB2312" w:eastAsia="仿宋_GB2312"/>
                <w:sz w:val="21"/>
              </w:rPr>
              <w:t>（万元）</w:t>
            </w:r>
          </w:p>
          <w:p>
            <w:pPr>
              <w:widowControl w:val="0"/>
              <w:spacing w:line="440" w:lineRule="exact"/>
              <w:ind w:firstLine="760" w:firstLineChars="317"/>
              <w:rPr>
                <w:rFonts w:hint="eastAsia" w:ascii="仿宋_GB2312" w:eastAsia="仿宋_GB2312"/>
                <w:sz w:val="24"/>
              </w:rPr>
            </w:pPr>
          </w:p>
        </w:tc>
        <w:tc>
          <w:tcPr>
            <w:tcW w:w="14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rPr>
                <w:rFonts w:hint="eastAsia" w:ascii="仿宋_GB2312" w:eastAsia="仿宋_GB2312"/>
                <w:sz w:val="28"/>
                <w:lang w:val="en-US" w:eastAsia="zh-CN"/>
              </w:rPr>
            </w:pPr>
            <w:r>
              <w:rPr>
                <w:rFonts w:hint="eastAsia" w:ascii="仿宋_GB2312" w:eastAsia="仿宋_GB2312"/>
                <w:sz w:val="28"/>
                <w:lang w:val="en-US" w:eastAsia="zh-CN"/>
              </w:rPr>
              <w:t>130.62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4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rPr>
                <w:rFonts w:hint="eastAsia" w:ascii="仿宋_GB2312" w:eastAsia="仿宋_GB2312"/>
                <w:sz w:val="24"/>
              </w:rPr>
            </w:pPr>
            <w:r>
              <w:rPr>
                <w:rFonts w:hint="eastAsia" w:ascii="仿宋_GB2312" w:eastAsia="仿宋_GB2312"/>
                <w:sz w:val="24"/>
              </w:rPr>
              <w:t>其中：中央财政</w:t>
            </w:r>
          </w:p>
        </w:tc>
        <w:tc>
          <w:tcPr>
            <w:tcW w:w="178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rPr>
                <w:rFonts w:hint="eastAsia" w:ascii="仿宋_GB2312" w:eastAsia="仿宋_GB2312"/>
                <w:sz w:val="28"/>
              </w:rPr>
            </w:pPr>
          </w:p>
        </w:tc>
        <w:tc>
          <w:tcPr>
            <w:tcW w:w="2346" w:type="dxa"/>
            <w:gridSpan w:val="4"/>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ind w:firstLine="760" w:firstLineChars="317"/>
              <w:rPr>
                <w:rFonts w:hint="eastAsia" w:ascii="仿宋_GB2312" w:eastAsia="仿宋_GB2312"/>
                <w:sz w:val="24"/>
              </w:rPr>
            </w:pPr>
          </w:p>
        </w:tc>
        <w:tc>
          <w:tcPr>
            <w:tcW w:w="14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4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ind w:firstLine="760" w:firstLineChars="317"/>
              <w:rPr>
                <w:rFonts w:hint="eastAsia" w:ascii="仿宋_GB2312" w:eastAsia="仿宋_GB2312"/>
                <w:sz w:val="24"/>
              </w:rPr>
            </w:pPr>
            <w:r>
              <w:rPr>
                <w:rFonts w:hint="eastAsia" w:ascii="仿宋_GB2312" w:eastAsia="仿宋_GB2312"/>
                <w:sz w:val="24"/>
              </w:rPr>
              <w:t>省财政</w:t>
            </w:r>
          </w:p>
        </w:tc>
        <w:tc>
          <w:tcPr>
            <w:tcW w:w="178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rPr>
                <w:rFonts w:hint="eastAsia" w:ascii="仿宋_GB2312" w:eastAsia="仿宋_GB2312"/>
                <w:sz w:val="28"/>
                <w:lang w:val="en-US" w:eastAsia="zh-CN"/>
              </w:rPr>
            </w:pPr>
          </w:p>
        </w:tc>
        <w:tc>
          <w:tcPr>
            <w:tcW w:w="2346" w:type="dxa"/>
            <w:gridSpan w:val="4"/>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ind w:firstLine="760" w:firstLineChars="317"/>
              <w:rPr>
                <w:rFonts w:hint="eastAsia" w:ascii="仿宋_GB2312" w:eastAsia="仿宋_GB2312"/>
                <w:sz w:val="24"/>
              </w:rPr>
            </w:pPr>
          </w:p>
        </w:tc>
        <w:tc>
          <w:tcPr>
            <w:tcW w:w="14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4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ind w:firstLine="760" w:firstLineChars="317"/>
              <w:rPr>
                <w:rFonts w:hint="eastAsia" w:ascii="仿宋_GB2312" w:eastAsia="仿宋_GB2312"/>
                <w:sz w:val="24"/>
              </w:rPr>
            </w:pPr>
            <w:r>
              <w:rPr>
                <w:rFonts w:hint="eastAsia" w:ascii="仿宋_GB2312" w:eastAsia="仿宋_GB2312"/>
                <w:sz w:val="24"/>
              </w:rPr>
              <w:t>市财政</w:t>
            </w:r>
          </w:p>
        </w:tc>
        <w:tc>
          <w:tcPr>
            <w:tcW w:w="178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rPr>
                <w:rFonts w:hint="eastAsia" w:ascii="仿宋_GB2312" w:eastAsia="仿宋_GB2312"/>
                <w:sz w:val="28"/>
              </w:rPr>
            </w:pPr>
          </w:p>
        </w:tc>
        <w:tc>
          <w:tcPr>
            <w:tcW w:w="2346" w:type="dxa"/>
            <w:gridSpan w:val="4"/>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ind w:firstLine="760" w:firstLineChars="317"/>
              <w:rPr>
                <w:rFonts w:hint="eastAsia" w:ascii="仿宋_GB2312" w:eastAsia="仿宋_GB2312"/>
                <w:sz w:val="24"/>
              </w:rPr>
            </w:pPr>
          </w:p>
        </w:tc>
        <w:tc>
          <w:tcPr>
            <w:tcW w:w="14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34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ind w:firstLine="760" w:firstLineChars="317"/>
              <w:rPr>
                <w:rFonts w:hint="eastAsia" w:ascii="仿宋_GB2312" w:eastAsia="仿宋_GB2312"/>
                <w:sz w:val="24"/>
              </w:rPr>
            </w:pPr>
            <w:r>
              <w:rPr>
                <w:rFonts w:hint="eastAsia" w:ascii="仿宋_GB2312" w:eastAsia="仿宋_GB2312"/>
                <w:sz w:val="24"/>
              </w:rPr>
              <w:t>其它</w:t>
            </w:r>
          </w:p>
        </w:tc>
        <w:tc>
          <w:tcPr>
            <w:tcW w:w="178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rPr>
                <w:rFonts w:hint="eastAsia" w:ascii="仿宋_GB2312" w:eastAsia="仿宋_GB2312"/>
                <w:sz w:val="28"/>
                <w:lang w:val="en-US" w:eastAsia="zh-CN"/>
              </w:rPr>
            </w:pPr>
            <w:r>
              <w:rPr>
                <w:rFonts w:hint="eastAsia" w:ascii="仿宋_GB2312" w:eastAsia="仿宋_GB2312"/>
                <w:sz w:val="28"/>
                <w:lang w:val="en-US" w:eastAsia="zh-CN"/>
              </w:rPr>
              <w:t>130.62</w:t>
            </w:r>
          </w:p>
        </w:tc>
        <w:tc>
          <w:tcPr>
            <w:tcW w:w="2346" w:type="dxa"/>
            <w:gridSpan w:val="4"/>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ind w:firstLine="760" w:firstLineChars="317"/>
              <w:rPr>
                <w:rFonts w:hint="eastAsia" w:ascii="仿宋_GB2312" w:eastAsia="仿宋_GB2312"/>
                <w:sz w:val="24"/>
              </w:rPr>
            </w:pPr>
          </w:p>
        </w:tc>
        <w:tc>
          <w:tcPr>
            <w:tcW w:w="14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 w:hRule="atLeast"/>
        </w:trPr>
        <w:tc>
          <w:tcPr>
            <w:tcW w:w="7920"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jc w:val="center"/>
              <w:rPr>
                <w:rFonts w:hint="eastAsia" w:ascii="仿宋_GB2312" w:eastAsia="仿宋_GB2312"/>
                <w:b/>
                <w:sz w:val="28"/>
              </w:rPr>
            </w:pPr>
            <w:r>
              <w:rPr>
                <w:rFonts w:hint="eastAsia" w:ascii="仿宋_GB2312" w:eastAsia="仿宋_GB2312"/>
                <w:b/>
                <w:sz w:val="28"/>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 w:hRule="atLeast"/>
        </w:trPr>
        <w:tc>
          <w:tcPr>
            <w:tcW w:w="234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jc w:val="center"/>
              <w:rPr>
                <w:rFonts w:hint="eastAsia" w:ascii="仿宋_GB2312" w:eastAsia="仿宋_GB2312"/>
                <w:sz w:val="28"/>
              </w:rPr>
            </w:pPr>
            <w:r>
              <w:rPr>
                <w:rFonts w:hint="eastAsia" w:ascii="仿宋_GB2312" w:eastAsia="仿宋_GB2312"/>
                <w:sz w:val="28"/>
              </w:rPr>
              <w:t>支出内容</w:t>
            </w:r>
          </w:p>
          <w:p>
            <w:pPr>
              <w:widowControl w:val="0"/>
              <w:spacing w:line="440" w:lineRule="exact"/>
              <w:jc w:val="center"/>
              <w:rPr>
                <w:rFonts w:hint="eastAsia" w:ascii="仿宋_GB2312" w:eastAsia="仿宋_GB2312"/>
                <w:sz w:val="28"/>
              </w:rPr>
            </w:pPr>
            <w:r>
              <w:rPr>
                <w:rFonts w:hint="eastAsia" w:ascii="仿宋_GB2312" w:eastAsia="仿宋_GB2312"/>
                <w:sz w:val="28"/>
              </w:rPr>
              <w:t>（经济科目）</w:t>
            </w:r>
          </w:p>
        </w:tc>
        <w:tc>
          <w:tcPr>
            <w:tcW w:w="286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jc w:val="center"/>
              <w:rPr>
                <w:rFonts w:hint="eastAsia" w:ascii="仿宋_GB2312" w:eastAsia="仿宋_GB2312"/>
                <w:sz w:val="28"/>
              </w:rPr>
            </w:pPr>
            <w:r>
              <w:rPr>
                <w:rFonts w:hint="eastAsia" w:ascii="仿宋_GB2312" w:eastAsia="仿宋_GB2312"/>
                <w:sz w:val="28"/>
              </w:rPr>
              <w:t>预算支出数</w:t>
            </w:r>
          </w:p>
        </w:tc>
        <w:tc>
          <w:tcPr>
            <w:tcW w:w="271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jc w:val="center"/>
              <w:rPr>
                <w:rFonts w:hint="eastAsia" w:ascii="仿宋_GB2312" w:eastAsia="仿宋_GB2312"/>
                <w:sz w:val="28"/>
              </w:rPr>
            </w:pPr>
            <w:r>
              <w:rPr>
                <w:rFonts w:hint="eastAsia" w:ascii="仿宋_GB2312" w:eastAsia="仿宋_GB2312"/>
                <w:sz w:val="28"/>
              </w:rPr>
              <w:t>实际支出数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 w:hRule="atLeast"/>
        </w:trPr>
        <w:tc>
          <w:tcPr>
            <w:tcW w:w="234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jc w:val="center"/>
              <w:rPr>
                <w:rFonts w:hint="eastAsia" w:ascii="仿宋_GB2312" w:eastAsia="仿宋_GB2312"/>
                <w:sz w:val="24"/>
                <w:lang w:eastAsia="zh-CN"/>
              </w:rPr>
            </w:pPr>
            <w:r>
              <w:rPr>
                <w:rFonts w:hint="eastAsia" w:ascii="仿宋_GB2312" w:eastAsia="仿宋_GB2312"/>
                <w:sz w:val="24"/>
                <w:lang w:eastAsia="zh-CN"/>
              </w:rPr>
              <w:t>物业管理费</w:t>
            </w:r>
          </w:p>
        </w:tc>
        <w:tc>
          <w:tcPr>
            <w:tcW w:w="286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jc w:val="center"/>
              <w:rPr>
                <w:rFonts w:hint="eastAsia" w:ascii="仿宋_GB2312" w:eastAsia="仿宋_GB2312"/>
                <w:color w:val="auto"/>
                <w:sz w:val="28"/>
                <w:lang w:val="en-US" w:eastAsia="zh-CN"/>
              </w:rPr>
            </w:pPr>
            <w:r>
              <w:rPr>
                <w:rFonts w:hint="eastAsia" w:ascii="仿宋_GB2312" w:eastAsia="仿宋_GB2312"/>
                <w:color w:val="auto"/>
                <w:sz w:val="28"/>
                <w:lang w:val="en-US" w:eastAsia="zh-CN"/>
              </w:rPr>
              <w:t>130.62</w:t>
            </w:r>
          </w:p>
        </w:tc>
        <w:tc>
          <w:tcPr>
            <w:tcW w:w="271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jc w:val="center"/>
              <w:rPr>
                <w:rFonts w:hint="eastAsia" w:ascii="仿宋_GB2312" w:eastAsia="仿宋_GB2312"/>
                <w:color w:val="auto"/>
                <w:sz w:val="28"/>
                <w:lang w:val="en-US" w:eastAsia="zh-CN"/>
              </w:rPr>
            </w:pPr>
            <w:r>
              <w:rPr>
                <w:rFonts w:hint="eastAsia" w:ascii="仿宋_GB2312" w:eastAsia="仿宋_GB2312"/>
                <w:color w:val="auto"/>
                <w:sz w:val="28"/>
                <w:lang w:val="en-US" w:eastAsia="zh-CN"/>
              </w:rPr>
              <w:t>130.62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 w:hRule="atLeast"/>
        </w:trPr>
        <w:tc>
          <w:tcPr>
            <w:tcW w:w="234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jc w:val="center"/>
              <w:rPr>
                <w:rFonts w:hint="eastAsia" w:ascii="仿宋_GB2312" w:eastAsia="仿宋_GB2312"/>
                <w:sz w:val="24"/>
              </w:rPr>
            </w:pPr>
            <w:r>
              <w:rPr>
                <w:rFonts w:hint="eastAsia" w:ascii="仿宋_GB2312" w:hAnsi="华文中宋" w:eastAsia="仿宋_GB2312"/>
                <w:sz w:val="28"/>
              </w:rPr>
              <w:t>支出合计</w:t>
            </w:r>
          </w:p>
        </w:tc>
        <w:tc>
          <w:tcPr>
            <w:tcW w:w="2863"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jc w:val="center"/>
              <w:rPr>
                <w:rFonts w:hint="eastAsia" w:ascii="仿宋_GB2312" w:eastAsia="仿宋_GB2312"/>
                <w:color w:val="auto"/>
                <w:sz w:val="28"/>
                <w:lang w:val="en-US" w:eastAsia="zh-CN"/>
              </w:rPr>
            </w:pPr>
            <w:r>
              <w:rPr>
                <w:rFonts w:hint="eastAsia" w:ascii="仿宋_GB2312" w:eastAsia="仿宋_GB2312"/>
                <w:color w:val="auto"/>
                <w:sz w:val="28"/>
                <w:lang w:val="en-US" w:eastAsia="zh-CN"/>
              </w:rPr>
              <w:t>130.62</w:t>
            </w:r>
          </w:p>
        </w:tc>
        <w:tc>
          <w:tcPr>
            <w:tcW w:w="2712"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line="440" w:lineRule="exact"/>
              <w:jc w:val="center"/>
              <w:rPr>
                <w:rFonts w:hint="eastAsia" w:ascii="仿宋_GB2312" w:eastAsia="仿宋_GB2312"/>
                <w:color w:val="auto"/>
                <w:sz w:val="28"/>
                <w:lang w:val="en-US" w:eastAsia="zh-CN"/>
              </w:rPr>
            </w:pPr>
            <w:r>
              <w:rPr>
                <w:rFonts w:hint="eastAsia" w:ascii="仿宋_GB2312" w:eastAsia="仿宋_GB2312"/>
                <w:color w:val="auto"/>
                <w:sz w:val="28"/>
                <w:lang w:val="en-US" w:eastAsia="zh-CN"/>
              </w:rPr>
              <w:t>130.62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4" w:hRule="atLeast"/>
        </w:trPr>
        <w:tc>
          <w:tcPr>
            <w:tcW w:w="7920"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b/>
                <w:sz w:val="28"/>
              </w:rPr>
            </w:pPr>
            <w:r>
              <w:rPr>
                <w:rFonts w:hint="eastAsia" w:ascii="仿宋_GB2312" w:eastAsia="仿宋_GB2312"/>
                <w:b/>
                <w:sz w:val="28"/>
              </w:rPr>
              <w:t>三、项目绩效目标完成情况（简要）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4" w:hRule="atLeast"/>
        </w:trPr>
        <w:tc>
          <w:tcPr>
            <w:tcW w:w="83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b/>
                <w:sz w:val="28"/>
              </w:rPr>
            </w:pPr>
            <w:r>
              <w:rPr>
                <w:rFonts w:hint="eastAsia" w:ascii="仿宋_GB2312" w:eastAsia="仿宋_GB2312"/>
                <w:sz w:val="24"/>
              </w:rPr>
              <w:t>项目绩效目标及实施计划</w:t>
            </w:r>
          </w:p>
        </w:tc>
        <w:tc>
          <w:tcPr>
            <w:tcW w:w="312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 w:val="21"/>
              </w:rPr>
            </w:pPr>
            <w:r>
              <w:rPr>
                <w:rFonts w:hint="eastAsia" w:ascii="仿宋_GB2312" w:eastAsia="仿宋_GB2312"/>
                <w:sz w:val="28"/>
              </w:rPr>
              <w:t>预期及调整情况</w:t>
            </w:r>
          </w:p>
        </w:tc>
        <w:tc>
          <w:tcPr>
            <w:tcW w:w="3962" w:type="dxa"/>
            <w:gridSpan w:val="6"/>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仿宋_GB2312" w:eastAsia="仿宋_GB2312"/>
                <w:sz w:val="21"/>
              </w:rPr>
            </w:pPr>
            <w:r>
              <w:rPr>
                <w:rFonts w:hint="eastAsia" w:ascii="仿宋_GB2312" w:eastAsia="仿宋_GB2312"/>
                <w:sz w:val="2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456" w:hRule="atLeast"/>
        </w:trPr>
        <w:tc>
          <w:tcPr>
            <w:tcW w:w="83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b/>
                <w:sz w:val="28"/>
              </w:rPr>
            </w:pPr>
          </w:p>
        </w:tc>
        <w:tc>
          <w:tcPr>
            <w:tcW w:w="312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eastAsia" w:ascii="仿宋_GB2312" w:eastAsia="仿宋_GB2312"/>
                <w:sz w:val="21"/>
              </w:rPr>
            </w:pPr>
            <w:r>
              <w:rPr>
                <w:rFonts w:hint="eastAsia" w:ascii="仿宋_GB2312" w:eastAsia="仿宋_GB2312"/>
                <w:color w:val="auto"/>
                <w:sz w:val="28"/>
                <w:lang w:val="en-US" w:eastAsia="zh-CN"/>
              </w:rPr>
              <w:t>保障审判、执行业务正常运转，执行率达100%。提供良好的安保服务、保洁服务、伙食服务等。</w:t>
            </w:r>
          </w:p>
        </w:tc>
        <w:tc>
          <w:tcPr>
            <w:tcW w:w="3962" w:type="dxa"/>
            <w:gridSpan w:val="6"/>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eastAsia" w:ascii="仿宋_GB2312" w:eastAsia="仿宋_GB2312"/>
                <w:color w:val="auto"/>
                <w:sz w:val="28"/>
                <w:lang w:val="en-US" w:eastAsia="zh-CN"/>
              </w:rPr>
            </w:pPr>
          </w:p>
          <w:p>
            <w:pPr>
              <w:jc w:val="left"/>
              <w:rPr>
                <w:rFonts w:hint="eastAsia" w:ascii="仿宋_GB2312" w:eastAsia="仿宋_GB2312"/>
                <w:sz w:val="21"/>
              </w:rPr>
            </w:pPr>
            <w:r>
              <w:rPr>
                <w:rFonts w:hint="eastAsia" w:ascii="仿宋_GB2312" w:eastAsia="仿宋_GB2312"/>
                <w:color w:val="auto"/>
                <w:sz w:val="28"/>
                <w:lang w:val="en-US" w:eastAsia="zh-CN"/>
              </w:rPr>
              <w:t>保障审判、执行业务正常运转，执行率为100%。提供良好的安保服务、保洁服务、伙食服务等。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4" w:hRule="atLeast"/>
        </w:trPr>
        <w:tc>
          <w:tcPr>
            <w:tcW w:w="7920"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b/>
                <w:sz w:val="28"/>
              </w:rPr>
            </w:pPr>
            <w:r>
              <w:rPr>
                <w:rFonts w:hint="eastAsia" w:ascii="仿宋_GB2312" w:eastAsia="仿宋_GB2312"/>
                <w:b/>
                <w:sz w:val="28"/>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 w:hRule="atLeast"/>
        </w:trPr>
        <w:tc>
          <w:tcPr>
            <w:tcW w:w="14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 w:val="24"/>
              </w:rPr>
            </w:pPr>
            <w:r>
              <w:rPr>
                <w:rFonts w:hint="eastAsia" w:ascii="仿宋_GB2312" w:eastAsia="仿宋_GB2312"/>
                <w:sz w:val="24"/>
              </w:rPr>
              <w:t>姓名</w:t>
            </w:r>
          </w:p>
        </w:tc>
        <w:tc>
          <w:tcPr>
            <w:tcW w:w="198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 w:val="24"/>
              </w:rPr>
            </w:pPr>
            <w:r>
              <w:rPr>
                <w:rFonts w:hint="eastAsia" w:ascii="仿宋_GB2312" w:eastAsia="仿宋_GB2312"/>
                <w:sz w:val="24"/>
              </w:rPr>
              <w:t>单位</w:t>
            </w:r>
          </w:p>
        </w:tc>
        <w:tc>
          <w:tcPr>
            <w:tcW w:w="208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 w:val="24"/>
              </w:rPr>
            </w:pPr>
            <w:r>
              <w:rPr>
                <w:rFonts w:hint="eastAsia" w:ascii="仿宋_GB2312" w:eastAsia="仿宋_GB2312"/>
                <w:sz w:val="24"/>
              </w:rPr>
              <w:t>职务</w:t>
            </w:r>
          </w:p>
        </w:tc>
        <w:tc>
          <w:tcPr>
            <w:tcW w:w="241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 w:val="24"/>
              </w:rPr>
            </w:pPr>
            <w:r>
              <w:rPr>
                <w:rFonts w:hint="eastAsia" w:ascii="仿宋_GB2312" w:eastAsia="仿宋_GB2312"/>
                <w:sz w:val="24"/>
              </w:rPr>
              <w:t>联系电话及手机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19" w:hRule="atLeast"/>
        </w:trPr>
        <w:tc>
          <w:tcPr>
            <w:tcW w:w="14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 w:val="28"/>
                <w:lang w:eastAsia="zh-CN"/>
              </w:rPr>
            </w:pPr>
            <w:r>
              <w:rPr>
                <w:rFonts w:hint="eastAsia" w:ascii="仿宋_GB2312" w:eastAsia="仿宋_GB2312"/>
                <w:sz w:val="28"/>
                <w:lang w:eastAsia="zh-CN"/>
              </w:rPr>
              <w:t>叶文兴</w:t>
            </w:r>
          </w:p>
        </w:tc>
        <w:tc>
          <w:tcPr>
            <w:tcW w:w="198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 w:val="28"/>
                <w:lang w:eastAsia="zh-CN"/>
              </w:rPr>
            </w:pPr>
            <w:r>
              <w:rPr>
                <w:rFonts w:hint="eastAsia" w:ascii="仿宋_GB2312" w:eastAsia="仿宋_GB2312"/>
                <w:sz w:val="28"/>
                <w:lang w:eastAsia="zh-CN"/>
              </w:rPr>
              <w:t>综合办公室</w:t>
            </w:r>
          </w:p>
        </w:tc>
        <w:tc>
          <w:tcPr>
            <w:tcW w:w="2087"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仿宋_GB2312" w:eastAsia="仿宋_GB2312"/>
                <w:sz w:val="28"/>
                <w:lang w:eastAsia="zh-CN"/>
              </w:rPr>
            </w:pPr>
            <w:r>
              <w:rPr>
                <w:rFonts w:hint="eastAsia" w:ascii="仿宋_GB2312" w:eastAsia="仿宋_GB2312"/>
                <w:sz w:val="28"/>
                <w:lang w:eastAsia="zh-CN"/>
              </w:rPr>
              <w:t>主任</w:t>
            </w:r>
          </w:p>
        </w:tc>
        <w:tc>
          <w:tcPr>
            <w:tcW w:w="2413"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仿宋_GB2312" w:eastAsia="仿宋_GB2312"/>
                <w:sz w:val="24"/>
                <w:lang w:val="en-US" w:eastAsia="zh-CN"/>
              </w:rPr>
            </w:pPr>
            <w:r>
              <w:rPr>
                <w:rFonts w:hint="eastAsia" w:ascii="仿宋_GB2312" w:eastAsia="仿宋_GB2312"/>
                <w:sz w:val="24"/>
                <w:lang w:val="en-US" w:eastAsia="zh-CN"/>
              </w:rPr>
              <w:t>2264109</w:t>
            </w:r>
          </w:p>
          <w:p>
            <w:pPr>
              <w:jc w:val="center"/>
              <w:rPr>
                <w:rFonts w:hint="eastAsia" w:ascii="仿宋_GB2312" w:eastAsia="仿宋_GB2312"/>
                <w:sz w:val="24"/>
              </w:rPr>
            </w:pPr>
            <w:r>
              <w:rPr>
                <w:rFonts w:hint="eastAsia" w:ascii="仿宋_GB2312" w:eastAsia="仿宋_GB2312"/>
                <w:sz w:val="24"/>
              </w:rPr>
              <w:t>18358890039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19" w:hRule="atLeast"/>
        </w:trPr>
        <w:tc>
          <w:tcPr>
            <w:tcW w:w="14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 w:val="28"/>
                <w:lang w:eastAsia="zh-CN"/>
              </w:rPr>
            </w:pPr>
            <w:r>
              <w:rPr>
                <w:rFonts w:hint="eastAsia" w:ascii="仿宋_GB2312" w:eastAsia="仿宋_GB2312"/>
                <w:sz w:val="28"/>
                <w:lang w:eastAsia="zh-CN"/>
              </w:rPr>
              <w:t>罗莹冰</w:t>
            </w:r>
          </w:p>
        </w:tc>
        <w:tc>
          <w:tcPr>
            <w:tcW w:w="198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 w:val="28"/>
              </w:rPr>
            </w:pPr>
            <w:r>
              <w:rPr>
                <w:rFonts w:hint="eastAsia" w:ascii="仿宋_GB2312" w:eastAsia="仿宋_GB2312"/>
                <w:sz w:val="28"/>
              </w:rPr>
              <w:t>综合办公室</w:t>
            </w:r>
          </w:p>
        </w:tc>
        <w:tc>
          <w:tcPr>
            <w:tcW w:w="2087"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仿宋_GB2312" w:eastAsia="仿宋_GB2312"/>
                <w:sz w:val="28"/>
                <w:lang w:eastAsia="zh-CN"/>
              </w:rPr>
            </w:pPr>
            <w:r>
              <w:rPr>
                <w:rFonts w:hint="eastAsia" w:ascii="仿宋_GB2312" w:eastAsia="仿宋_GB2312"/>
                <w:sz w:val="28"/>
                <w:lang w:eastAsia="zh-CN"/>
              </w:rPr>
              <w:t>副主任</w:t>
            </w:r>
          </w:p>
        </w:tc>
        <w:tc>
          <w:tcPr>
            <w:tcW w:w="2413"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仿宋_GB2312" w:eastAsia="仿宋_GB2312"/>
                <w:sz w:val="24"/>
              </w:rPr>
            </w:pPr>
            <w:r>
              <w:rPr>
                <w:rFonts w:hint="eastAsia" w:ascii="仿宋_GB2312" w:eastAsia="仿宋_GB2312"/>
                <w:sz w:val="24"/>
              </w:rPr>
              <w:t>2263680</w:t>
            </w:r>
          </w:p>
          <w:p>
            <w:pPr>
              <w:jc w:val="center"/>
              <w:rPr>
                <w:rFonts w:hint="eastAsia" w:ascii="仿宋_GB2312" w:eastAsia="仿宋_GB2312"/>
                <w:sz w:val="28"/>
              </w:rPr>
            </w:pPr>
            <w:r>
              <w:rPr>
                <w:rFonts w:hint="eastAsia" w:ascii="仿宋_GB2312" w:eastAsia="仿宋_GB2312"/>
                <w:sz w:val="24"/>
              </w:rPr>
              <w:t>13666575618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19" w:hRule="atLeast"/>
        </w:trPr>
        <w:tc>
          <w:tcPr>
            <w:tcW w:w="14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 w:val="28"/>
                <w:lang w:val="en-US" w:eastAsia="zh-CN"/>
              </w:rPr>
            </w:pPr>
            <w:r>
              <w:rPr>
                <w:rFonts w:hint="eastAsia" w:ascii="仿宋_GB2312" w:eastAsia="仿宋_GB2312"/>
                <w:sz w:val="28"/>
                <w:lang w:eastAsia="zh-CN"/>
              </w:rPr>
              <w:t>沈</w:t>
            </w:r>
            <w:r>
              <w:rPr>
                <w:rFonts w:hint="eastAsia" w:ascii="仿宋_GB2312" w:eastAsia="仿宋_GB2312"/>
                <w:sz w:val="28"/>
                <w:lang w:val="en-US" w:eastAsia="zh-CN"/>
              </w:rPr>
              <w:t xml:space="preserve">  </w:t>
            </w:r>
            <w:r>
              <w:rPr>
                <w:rFonts w:hint="eastAsia" w:ascii="仿宋_GB2312" w:eastAsia="仿宋_GB2312"/>
                <w:sz w:val="28"/>
                <w:lang w:eastAsia="zh-CN"/>
              </w:rPr>
              <w:t>歆</w:t>
            </w:r>
          </w:p>
        </w:tc>
        <w:tc>
          <w:tcPr>
            <w:tcW w:w="198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 w:val="28"/>
                <w:lang w:val="en-US" w:eastAsia="zh-CN"/>
              </w:rPr>
            </w:pPr>
            <w:r>
              <w:rPr>
                <w:rFonts w:hint="eastAsia" w:ascii="仿宋_GB2312" w:eastAsia="仿宋_GB2312"/>
                <w:sz w:val="28"/>
                <w:lang w:eastAsia="zh-CN"/>
              </w:rPr>
              <w:t>综合办公室</w:t>
            </w:r>
          </w:p>
        </w:tc>
        <w:tc>
          <w:tcPr>
            <w:tcW w:w="2087"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仿宋_GB2312" w:eastAsia="仿宋_GB2312"/>
                <w:sz w:val="28"/>
                <w:lang w:val="en-US" w:eastAsia="zh-CN"/>
              </w:rPr>
            </w:pPr>
            <w:r>
              <w:rPr>
                <w:rFonts w:hint="eastAsia" w:ascii="仿宋_GB2312" w:eastAsia="仿宋_GB2312"/>
                <w:sz w:val="28"/>
              </w:rPr>
              <w:t>会计</w:t>
            </w:r>
          </w:p>
        </w:tc>
        <w:tc>
          <w:tcPr>
            <w:tcW w:w="2413"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仿宋_GB2312" w:eastAsia="仿宋_GB2312"/>
                <w:sz w:val="24"/>
              </w:rPr>
            </w:pPr>
            <w:r>
              <w:rPr>
                <w:rFonts w:hint="eastAsia" w:ascii="仿宋_GB2312" w:eastAsia="仿宋_GB2312"/>
                <w:sz w:val="24"/>
              </w:rPr>
              <w:t xml:space="preserve">2264118 </w:t>
            </w:r>
          </w:p>
          <w:p>
            <w:pPr>
              <w:jc w:val="center"/>
              <w:rPr>
                <w:rFonts w:hint="eastAsia" w:ascii="仿宋_GB2312" w:eastAsia="仿宋_GB2312"/>
                <w:sz w:val="24"/>
                <w:lang w:val="en-US" w:eastAsia="zh-CN"/>
              </w:rPr>
            </w:pPr>
            <w:r>
              <w:rPr>
                <w:rFonts w:hint="eastAsia" w:ascii="仿宋_GB2312" w:eastAsia="仿宋_GB2312"/>
                <w:sz w:val="24"/>
                <w:lang w:val="en-US" w:eastAsia="zh-CN"/>
              </w:rPr>
              <w:t>15925732951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97" w:hRule="atLeast"/>
        </w:trPr>
        <w:tc>
          <w:tcPr>
            <w:tcW w:w="7920" w:type="dxa"/>
            <w:gridSpan w:val="11"/>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_GB2312" w:eastAsia="仿宋_GB2312"/>
                <w:b/>
                <w:sz w:val="28"/>
              </w:rPr>
            </w:pPr>
            <w:r>
              <w:rPr>
                <w:rFonts w:hint="eastAsia" w:ascii="仿宋_GB2312" w:eastAsia="仿宋_GB2312"/>
                <w:b/>
                <w:sz w:val="28"/>
              </w:rPr>
              <w:t>五、项目单位（评价机构）意见：</w:t>
            </w:r>
          </w:p>
          <w:p>
            <w:pPr>
              <w:rPr>
                <w:rFonts w:hint="eastAsia" w:ascii="仿宋_GB2312" w:eastAsia="仿宋_GB2312"/>
                <w:sz w:val="28"/>
              </w:rPr>
            </w:pPr>
            <w:r>
              <w:rPr>
                <w:rFonts w:hint="eastAsia" w:ascii="仿宋_GB2312" w:eastAsia="仿宋_GB2312"/>
                <w:sz w:val="28"/>
              </w:rPr>
              <w:t>同意评价结果</w:t>
            </w:r>
          </w:p>
          <w:p>
            <w:pPr>
              <w:rPr>
                <w:rFonts w:hint="eastAsia" w:ascii="仿宋_GB2312" w:eastAsia="仿宋_GB2312"/>
                <w:sz w:val="28"/>
              </w:rPr>
            </w:pPr>
          </w:p>
          <w:p>
            <w:pPr>
              <w:rPr>
                <w:rFonts w:hint="eastAsia" w:ascii="仿宋_GB2312" w:eastAsia="仿宋_GB2312"/>
                <w:sz w:val="28"/>
              </w:rPr>
            </w:pPr>
            <w:r>
              <w:rPr>
                <w:rFonts w:hint="eastAsia" w:ascii="仿宋_GB2312" w:eastAsia="仿宋_GB2312"/>
                <w:sz w:val="28"/>
              </w:rPr>
              <w:t xml:space="preserve">                                （盖章）</w:t>
            </w:r>
          </w:p>
          <w:p>
            <w:pPr>
              <w:ind w:firstLine="4340" w:firstLineChars="1550"/>
              <w:rPr>
                <w:rFonts w:hint="eastAsia" w:ascii="仿宋_GB2312" w:eastAsia="仿宋_GB2312"/>
                <w:sz w:val="28"/>
              </w:rPr>
            </w:pPr>
            <w:r>
              <w:rPr>
                <w:rFonts w:hint="eastAsia" w:ascii="仿宋_GB2312" w:eastAsia="仿宋_GB2312"/>
                <w:sz w:val="28"/>
              </w:rPr>
              <w:t>年</w:t>
            </w:r>
            <w:r>
              <w:rPr>
                <w:rFonts w:hint="eastAsia" w:ascii="仿宋_GB2312" w:eastAsia="仿宋_GB2312"/>
                <w:sz w:val="28"/>
                <w:lang w:val="en-US" w:eastAsia="zh-CN"/>
              </w:rPr>
              <w:t xml:space="preserve"> </w:t>
            </w:r>
            <w:r>
              <w:rPr>
                <w:rFonts w:hint="eastAsia" w:ascii="仿宋_GB2312" w:eastAsia="仿宋_GB2312"/>
                <w:sz w:val="28"/>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246" w:hRule="atLeast"/>
        </w:trPr>
        <w:tc>
          <w:tcPr>
            <w:tcW w:w="7920" w:type="dxa"/>
            <w:gridSpan w:val="11"/>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_GB2312" w:eastAsia="仿宋_GB2312"/>
                <w:b/>
                <w:sz w:val="28"/>
              </w:rPr>
            </w:pPr>
            <w:r>
              <w:rPr>
                <w:rFonts w:hint="eastAsia" w:ascii="仿宋_GB2312" w:eastAsia="仿宋_GB2312"/>
                <w:b/>
                <w:sz w:val="28"/>
              </w:rPr>
              <w:t>六、主管部门审核意见：</w:t>
            </w:r>
          </w:p>
          <w:p>
            <w:pPr>
              <w:rPr>
                <w:rFonts w:hint="eastAsia" w:ascii="仿宋_GB2312" w:eastAsia="仿宋_GB2312"/>
                <w:sz w:val="28"/>
              </w:rPr>
            </w:pPr>
            <w:r>
              <w:rPr>
                <w:rFonts w:hint="eastAsia" w:ascii="仿宋_GB2312" w:eastAsia="仿宋_GB2312"/>
                <w:sz w:val="28"/>
              </w:rPr>
              <w:t>同意评价结果</w:t>
            </w:r>
          </w:p>
          <w:p>
            <w:pPr>
              <w:rPr>
                <w:rFonts w:hint="eastAsia" w:ascii="仿宋_GB2312" w:eastAsia="仿宋_GB2312"/>
                <w:sz w:val="28"/>
              </w:rPr>
            </w:pPr>
          </w:p>
          <w:p>
            <w:pPr>
              <w:rPr>
                <w:rFonts w:hint="eastAsia" w:ascii="仿宋_GB2312" w:eastAsia="仿宋_GB2312"/>
                <w:sz w:val="28"/>
              </w:rPr>
            </w:pPr>
            <w:r>
              <w:rPr>
                <w:rFonts w:hint="eastAsia" w:ascii="仿宋_GB2312" w:eastAsia="仿宋_GB2312"/>
                <w:sz w:val="28"/>
              </w:rPr>
              <w:t xml:space="preserve">                                 （盖单）</w:t>
            </w:r>
          </w:p>
          <w:p>
            <w:pPr>
              <w:wordWrap w:val="0"/>
              <w:rPr>
                <w:rFonts w:hint="eastAsia" w:ascii="仿宋_GB2312" w:eastAsia="仿宋_GB2312"/>
                <w:sz w:val="28"/>
              </w:rPr>
            </w:pPr>
            <w:r>
              <w:rPr>
                <w:rFonts w:hint="eastAsia" w:ascii="仿宋_GB2312" w:eastAsia="仿宋_GB2312"/>
                <w:sz w:val="28"/>
              </w:rPr>
              <w:t xml:space="preserve">                               年   月  日</w:t>
            </w:r>
          </w:p>
        </w:tc>
      </w:tr>
    </w:tbl>
    <w:p>
      <w:pPr>
        <w:pStyle w:val="2"/>
        <w:spacing w:line="324" w:lineRule="auto"/>
        <w:rPr>
          <w:rFonts w:hint="eastAsia" w:ascii="仿宋" w:hAnsi="仿宋" w:eastAsia="仿宋"/>
          <w:color w:val="auto"/>
          <w:kern w:val="2"/>
          <w:sz w:val="32"/>
          <w:highlight w:val="white"/>
        </w:rPr>
      </w:pPr>
    </w:p>
    <w:p>
      <w:pPr>
        <w:pStyle w:val="2"/>
        <w:spacing w:line="324" w:lineRule="auto"/>
        <w:ind w:firstLine="600"/>
        <w:rPr>
          <w:rFonts w:hint="eastAsia" w:ascii="仿宋_GB2312" w:eastAsia="仿宋"/>
          <w:sz w:val="24"/>
        </w:rPr>
      </w:pPr>
      <w:r>
        <w:rPr>
          <w:rFonts w:hint="eastAsia" w:ascii="仿宋" w:hAnsi="仿宋" w:eastAsia="仿宋"/>
          <w:color w:val="auto"/>
          <w:kern w:val="2"/>
          <w:sz w:val="32"/>
          <w:highlight w:val="white"/>
        </w:rPr>
        <w:t>市区执行一体化专项经费项目绩效自评综述</w:t>
      </w:r>
      <w:r>
        <w:rPr>
          <w:rFonts w:hint="eastAsia" w:ascii="仿宋_GB2312" w:eastAsia="仿宋_GB2312"/>
          <w:sz w:val="24"/>
        </w:rPr>
        <w:t>：</w:t>
      </w:r>
      <w:r>
        <w:rPr>
          <w:rFonts w:hint="eastAsia" w:ascii="仿宋" w:hAnsi="仿宋" w:eastAsia="仿宋"/>
          <w:color w:val="auto"/>
          <w:kern w:val="2"/>
          <w:sz w:val="32"/>
          <w:highlight w:val="white"/>
        </w:rPr>
        <w:t>根据年初设定的绩效目标，项目自评得分100分，自评结论为“优”。2021年市区执行一体化专项经费年初预算数为80万元，支出数为80万元，执行率达到100%。其中：委托业务费支出80万元。项目绩效目标完成情况：一是公证处人员有效辅助了本院执行事项；二是实现市区执行工作更优，人民群众获得感更强目标。</w:t>
      </w:r>
    </w:p>
    <w:tbl>
      <w:tblPr>
        <w:tblStyle w:val="3"/>
        <w:tblW w:w="792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602"/>
        <w:gridCol w:w="1071"/>
        <w:gridCol w:w="909"/>
        <w:gridCol w:w="538"/>
        <w:gridCol w:w="171"/>
        <w:gridCol w:w="1079"/>
        <w:gridCol w:w="192"/>
        <w:gridCol w:w="168"/>
        <w:gridCol w:w="907"/>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920" w:type="dxa"/>
            <w:gridSpan w:val="11"/>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line="440" w:lineRule="exact"/>
              <w:jc w:val="center"/>
              <w:rPr>
                <w:rFonts w:hint="eastAsia" w:ascii="仿宋_GB2312" w:eastAsia="仿宋_GB2312"/>
                <w:b/>
                <w:sz w:val="28"/>
              </w:rPr>
            </w:pPr>
            <w:r>
              <w:rPr>
                <w:rFonts w:hint="eastAsia" w:ascii="仿宋_GB2312" w:eastAsia="仿宋_GB2312"/>
                <w:b/>
                <w:sz w:val="28"/>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511"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line="440" w:lineRule="exact"/>
              <w:rPr>
                <w:rFonts w:hint="eastAsia" w:ascii="仿宋_GB2312" w:eastAsia="仿宋_GB2312"/>
                <w:sz w:val="28"/>
              </w:rPr>
            </w:pPr>
            <w:r>
              <w:rPr>
                <w:rFonts w:hint="eastAsia" w:ascii="仿宋_GB2312" w:eastAsia="仿宋_GB2312"/>
                <w:sz w:val="28"/>
              </w:rPr>
              <w:t>项目负责人</w:t>
            </w:r>
          </w:p>
        </w:tc>
        <w:tc>
          <w:tcPr>
            <w:tcW w:w="1618"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line="440" w:lineRule="exact"/>
              <w:rPr>
                <w:rFonts w:hint="eastAsia" w:ascii="仿宋_GB2312" w:eastAsia="仿宋_GB2312"/>
                <w:sz w:val="28"/>
              </w:rPr>
            </w:pPr>
            <w:r>
              <w:rPr>
                <w:rFonts w:hint="eastAsia" w:ascii="仿宋_GB2312" w:eastAsia="仿宋_GB2312"/>
                <w:sz w:val="28"/>
              </w:rPr>
              <w:t>熊剑</w:t>
            </w:r>
          </w:p>
        </w:tc>
        <w:tc>
          <w:tcPr>
            <w:tcW w:w="1439"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line="440" w:lineRule="exact"/>
              <w:rPr>
                <w:rFonts w:hint="eastAsia" w:ascii="仿宋_GB2312" w:eastAsia="仿宋_GB2312"/>
                <w:sz w:val="28"/>
              </w:rPr>
            </w:pPr>
            <w:r>
              <w:rPr>
                <w:rFonts w:hint="eastAsia" w:ascii="仿宋_GB2312" w:eastAsia="仿宋_GB2312"/>
                <w:sz w:val="28"/>
              </w:rPr>
              <w:t>联系电话</w:t>
            </w:r>
          </w:p>
        </w:tc>
        <w:tc>
          <w:tcPr>
            <w:tcW w:w="2352"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line="440" w:lineRule="exact"/>
              <w:rPr>
                <w:rFonts w:hint="eastAsia" w:ascii="仿宋_GB2312" w:eastAsia="仿宋_GB2312"/>
                <w:sz w:val="28"/>
              </w:rPr>
            </w:pPr>
            <w:r>
              <w:rPr>
                <w:rFonts w:hint="eastAsia" w:ascii="仿宋_GB2312" w:eastAsia="仿宋_GB2312"/>
                <w:sz w:val="28"/>
              </w:rPr>
              <w:t>2264103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2511"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line="440" w:lineRule="exact"/>
              <w:rPr>
                <w:rFonts w:hint="eastAsia" w:ascii="仿宋_GB2312" w:eastAsia="仿宋_GB2312"/>
                <w:sz w:val="28"/>
              </w:rPr>
            </w:pPr>
            <w:r>
              <w:rPr>
                <w:rFonts w:hint="eastAsia" w:ascii="仿宋_GB2312" w:eastAsia="仿宋_GB2312"/>
                <w:sz w:val="28"/>
              </w:rPr>
              <w:t>地     址</w:t>
            </w:r>
          </w:p>
        </w:tc>
        <w:tc>
          <w:tcPr>
            <w:tcW w:w="3057" w:type="dxa"/>
            <w:gridSpan w:val="6"/>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line="440" w:lineRule="exact"/>
              <w:rPr>
                <w:rFonts w:hint="eastAsia" w:ascii="仿宋_GB2312" w:eastAsia="仿宋_GB2312"/>
                <w:sz w:val="28"/>
              </w:rPr>
            </w:pPr>
            <w:r>
              <w:rPr>
                <w:rFonts w:hint="eastAsia" w:ascii="仿宋_GB2312" w:eastAsia="仿宋_GB2312"/>
                <w:sz w:val="28"/>
              </w:rPr>
              <w:t>括苍路123号</w:t>
            </w:r>
          </w:p>
        </w:tc>
        <w:tc>
          <w:tcPr>
            <w:tcW w:w="907"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line="440" w:lineRule="exact"/>
              <w:rPr>
                <w:rFonts w:hint="eastAsia" w:ascii="仿宋_GB2312" w:eastAsia="仿宋_GB2312"/>
                <w:sz w:val="28"/>
              </w:rPr>
            </w:pPr>
            <w:r>
              <w:rPr>
                <w:rFonts w:hint="eastAsia" w:ascii="仿宋_GB2312" w:eastAsia="仿宋_GB2312"/>
                <w:sz w:val="28"/>
              </w:rPr>
              <w:t>邮编</w:t>
            </w:r>
          </w:p>
        </w:tc>
        <w:tc>
          <w:tcPr>
            <w:tcW w:w="1445"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line="440" w:lineRule="exact"/>
              <w:rPr>
                <w:rFonts w:hint="eastAsia" w:ascii="仿宋_GB2312" w:eastAsia="仿宋_GB2312"/>
                <w:sz w:val="28"/>
              </w:rPr>
            </w:pPr>
            <w:r>
              <w:rPr>
                <w:rFonts w:hint="eastAsia" w:ascii="仿宋_GB2312" w:eastAsia="仿宋_GB2312"/>
                <w:sz w:val="28"/>
              </w:rPr>
              <w:t>323000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2511"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line="440" w:lineRule="exact"/>
              <w:rPr>
                <w:rFonts w:hint="eastAsia" w:ascii="仿宋_GB2312" w:eastAsia="仿宋_GB2312"/>
                <w:sz w:val="28"/>
              </w:rPr>
            </w:pPr>
            <w:r>
              <w:rPr>
                <w:rFonts w:hint="eastAsia" w:ascii="仿宋_GB2312" w:eastAsia="仿宋_GB2312"/>
                <w:sz w:val="28"/>
              </w:rPr>
              <w:t>项目起止时间</w:t>
            </w:r>
          </w:p>
        </w:tc>
        <w:tc>
          <w:tcPr>
            <w:tcW w:w="5409" w:type="dxa"/>
            <w:gridSpan w:val="8"/>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line="440" w:lineRule="exact"/>
              <w:jc w:val="center"/>
              <w:rPr>
                <w:rFonts w:hint="eastAsia" w:ascii="仿宋_GB2312" w:eastAsia="仿宋_GB2312"/>
                <w:sz w:val="32"/>
              </w:rPr>
            </w:pPr>
            <w:r>
              <w:rPr>
                <w:rFonts w:hint="eastAsia" w:ascii="仿宋_GB2312" w:eastAsia="仿宋_GB2312"/>
                <w:sz w:val="32"/>
              </w:rPr>
              <w:t>202</w:t>
            </w:r>
            <w:r>
              <w:rPr>
                <w:rFonts w:hint="eastAsia" w:ascii="仿宋_GB2312" w:eastAsia="仿宋_GB2312"/>
                <w:sz w:val="32"/>
                <w:lang w:val="en-US" w:eastAsia="zh-CN"/>
              </w:rPr>
              <w:t>1</w:t>
            </w:r>
            <w:r>
              <w:rPr>
                <w:rFonts w:hint="eastAsia" w:ascii="仿宋_GB2312" w:eastAsia="仿宋_GB2312"/>
                <w:sz w:val="32"/>
              </w:rPr>
              <w:t>年1月1日～202</w:t>
            </w:r>
            <w:r>
              <w:rPr>
                <w:rFonts w:hint="eastAsia" w:ascii="仿宋_GB2312" w:eastAsia="仿宋_GB2312"/>
                <w:sz w:val="32"/>
                <w:lang w:val="en-US" w:eastAsia="zh-CN"/>
              </w:rPr>
              <w:t>1</w:t>
            </w:r>
            <w:r>
              <w:rPr>
                <w:rFonts w:hint="eastAsia" w:ascii="仿宋_GB2312" w:eastAsia="仿宋_GB2312"/>
                <w:sz w:val="32"/>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51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rPr>
                <w:rFonts w:hint="eastAsia" w:ascii="仿宋_GB2312" w:eastAsia="仿宋_GB2312"/>
                <w:sz w:val="21"/>
              </w:rPr>
            </w:pPr>
            <w:r>
              <w:rPr>
                <w:rFonts w:hint="eastAsia" w:ascii="仿宋_GB2312" w:eastAsia="仿宋_GB2312"/>
                <w:sz w:val="24"/>
              </w:rPr>
              <w:t>预算金额</w:t>
            </w:r>
            <w:r>
              <w:rPr>
                <w:rFonts w:hint="eastAsia" w:ascii="仿宋_GB2312" w:eastAsia="仿宋_GB2312"/>
                <w:sz w:val="21"/>
              </w:rPr>
              <w:t>（万元）</w:t>
            </w:r>
          </w:p>
        </w:tc>
        <w:tc>
          <w:tcPr>
            <w:tcW w:w="161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rPr>
                <w:rFonts w:hint="eastAsia" w:ascii="仿宋_GB2312" w:eastAsia="仿宋_GB2312"/>
                <w:sz w:val="28"/>
                <w:lang w:val="en-US" w:eastAsia="zh-CN"/>
              </w:rPr>
            </w:pPr>
            <w:r>
              <w:rPr>
                <w:rFonts w:hint="eastAsia" w:ascii="仿宋_GB2312" w:eastAsia="仿宋_GB2312"/>
                <w:sz w:val="28"/>
                <w:lang w:val="en-US" w:eastAsia="zh-CN"/>
              </w:rPr>
              <w:t>80</w:t>
            </w:r>
          </w:p>
        </w:tc>
        <w:tc>
          <w:tcPr>
            <w:tcW w:w="2346" w:type="dxa"/>
            <w:gridSpan w:val="4"/>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rPr>
                <w:rFonts w:hint="eastAsia" w:ascii="仿宋_GB2312" w:eastAsia="仿宋_GB2312"/>
                <w:sz w:val="24"/>
              </w:rPr>
            </w:pPr>
            <w:r>
              <w:rPr>
                <w:rFonts w:hint="eastAsia" w:ascii="仿宋_GB2312" w:eastAsia="仿宋_GB2312"/>
                <w:sz w:val="24"/>
              </w:rPr>
              <w:t>实际支出金额</w:t>
            </w:r>
            <w:r>
              <w:rPr>
                <w:rFonts w:hint="eastAsia" w:ascii="仿宋_GB2312" w:eastAsia="仿宋_GB2312"/>
                <w:sz w:val="21"/>
              </w:rPr>
              <w:t>（万元）</w:t>
            </w:r>
          </w:p>
          <w:p>
            <w:pPr>
              <w:widowControl w:val="0"/>
              <w:spacing w:line="440" w:lineRule="exact"/>
              <w:ind w:firstLine="760" w:firstLineChars="317"/>
              <w:rPr>
                <w:rFonts w:hint="eastAsia" w:ascii="仿宋_GB2312" w:eastAsia="仿宋_GB2312"/>
                <w:sz w:val="24"/>
              </w:rPr>
            </w:pPr>
          </w:p>
        </w:tc>
        <w:tc>
          <w:tcPr>
            <w:tcW w:w="144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rPr>
                <w:rFonts w:hint="eastAsia" w:ascii="仿宋_GB2312" w:eastAsia="仿宋_GB2312"/>
                <w:sz w:val="28"/>
                <w:lang w:val="en-US" w:eastAsia="zh-CN"/>
              </w:rPr>
            </w:pPr>
            <w:r>
              <w:rPr>
                <w:rFonts w:hint="eastAsia" w:ascii="仿宋_GB2312" w:eastAsia="仿宋_GB2312"/>
                <w:sz w:val="28"/>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51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rPr>
                <w:rFonts w:hint="eastAsia" w:ascii="仿宋_GB2312" w:eastAsia="仿宋_GB2312"/>
                <w:sz w:val="24"/>
              </w:rPr>
            </w:pPr>
            <w:r>
              <w:rPr>
                <w:rFonts w:hint="eastAsia" w:ascii="仿宋_GB2312" w:eastAsia="仿宋_GB2312"/>
                <w:sz w:val="24"/>
              </w:rPr>
              <w:t>其中：中央财政</w:t>
            </w:r>
          </w:p>
        </w:tc>
        <w:tc>
          <w:tcPr>
            <w:tcW w:w="161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rPr>
                <w:rFonts w:hint="eastAsia" w:ascii="仿宋_GB2312" w:eastAsia="仿宋_GB2312"/>
                <w:sz w:val="28"/>
              </w:rPr>
            </w:pPr>
          </w:p>
        </w:tc>
        <w:tc>
          <w:tcPr>
            <w:tcW w:w="2346" w:type="dxa"/>
            <w:gridSpan w:val="4"/>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ind w:firstLine="760" w:firstLineChars="317"/>
              <w:rPr>
                <w:rFonts w:hint="eastAsia" w:ascii="仿宋_GB2312" w:eastAsia="仿宋_GB2312"/>
                <w:sz w:val="24"/>
              </w:rPr>
            </w:pPr>
          </w:p>
        </w:tc>
        <w:tc>
          <w:tcPr>
            <w:tcW w:w="14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51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ind w:firstLine="760" w:firstLineChars="317"/>
              <w:rPr>
                <w:rFonts w:hint="eastAsia" w:ascii="仿宋_GB2312" w:eastAsia="仿宋_GB2312"/>
                <w:sz w:val="24"/>
              </w:rPr>
            </w:pPr>
            <w:r>
              <w:rPr>
                <w:rFonts w:hint="eastAsia" w:ascii="仿宋_GB2312" w:eastAsia="仿宋_GB2312"/>
                <w:sz w:val="24"/>
              </w:rPr>
              <w:t>省财政</w:t>
            </w:r>
          </w:p>
        </w:tc>
        <w:tc>
          <w:tcPr>
            <w:tcW w:w="161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rPr>
                <w:rFonts w:hint="eastAsia" w:ascii="仿宋_GB2312" w:eastAsia="仿宋_GB2312"/>
                <w:sz w:val="28"/>
                <w:lang w:val="en-US" w:eastAsia="zh-CN"/>
              </w:rPr>
            </w:pPr>
            <w:r>
              <w:rPr>
                <w:rFonts w:hint="eastAsia" w:ascii="仿宋_GB2312" w:eastAsia="仿宋_GB2312"/>
                <w:sz w:val="28"/>
                <w:lang w:val="en-US" w:eastAsia="zh-CN"/>
              </w:rPr>
              <w:t>80</w:t>
            </w:r>
          </w:p>
        </w:tc>
        <w:tc>
          <w:tcPr>
            <w:tcW w:w="2346" w:type="dxa"/>
            <w:gridSpan w:val="4"/>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ind w:firstLine="760" w:firstLineChars="317"/>
              <w:rPr>
                <w:rFonts w:hint="eastAsia" w:ascii="仿宋_GB2312" w:eastAsia="仿宋_GB2312"/>
                <w:sz w:val="24"/>
              </w:rPr>
            </w:pPr>
          </w:p>
        </w:tc>
        <w:tc>
          <w:tcPr>
            <w:tcW w:w="14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51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ind w:firstLine="760" w:firstLineChars="317"/>
              <w:rPr>
                <w:rFonts w:hint="eastAsia" w:ascii="仿宋_GB2312" w:eastAsia="仿宋_GB2312"/>
                <w:sz w:val="24"/>
              </w:rPr>
            </w:pPr>
            <w:r>
              <w:rPr>
                <w:rFonts w:hint="eastAsia" w:ascii="仿宋_GB2312" w:eastAsia="仿宋_GB2312"/>
                <w:sz w:val="24"/>
              </w:rPr>
              <w:t>市财政</w:t>
            </w:r>
          </w:p>
        </w:tc>
        <w:tc>
          <w:tcPr>
            <w:tcW w:w="161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rPr>
                <w:rFonts w:hint="eastAsia" w:ascii="仿宋_GB2312" w:eastAsia="仿宋_GB2312"/>
                <w:sz w:val="28"/>
              </w:rPr>
            </w:pPr>
          </w:p>
        </w:tc>
        <w:tc>
          <w:tcPr>
            <w:tcW w:w="2346" w:type="dxa"/>
            <w:gridSpan w:val="4"/>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ind w:firstLine="760" w:firstLineChars="317"/>
              <w:rPr>
                <w:rFonts w:hint="eastAsia" w:ascii="仿宋_GB2312" w:eastAsia="仿宋_GB2312"/>
                <w:sz w:val="24"/>
              </w:rPr>
            </w:pPr>
          </w:p>
        </w:tc>
        <w:tc>
          <w:tcPr>
            <w:tcW w:w="14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51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ind w:firstLine="760" w:firstLineChars="317"/>
              <w:rPr>
                <w:rFonts w:hint="eastAsia" w:ascii="仿宋_GB2312" w:eastAsia="仿宋_GB2312"/>
                <w:sz w:val="24"/>
              </w:rPr>
            </w:pPr>
            <w:r>
              <w:rPr>
                <w:rFonts w:hint="eastAsia" w:ascii="仿宋_GB2312" w:eastAsia="仿宋_GB2312"/>
                <w:sz w:val="24"/>
              </w:rPr>
              <w:t>其它</w:t>
            </w:r>
          </w:p>
        </w:tc>
        <w:tc>
          <w:tcPr>
            <w:tcW w:w="161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rPr>
                <w:rFonts w:hint="eastAsia" w:ascii="仿宋_GB2312" w:eastAsia="仿宋_GB2312"/>
                <w:sz w:val="28"/>
              </w:rPr>
            </w:pPr>
          </w:p>
        </w:tc>
        <w:tc>
          <w:tcPr>
            <w:tcW w:w="2346" w:type="dxa"/>
            <w:gridSpan w:val="4"/>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ind w:firstLine="760" w:firstLineChars="317"/>
              <w:rPr>
                <w:rFonts w:hint="eastAsia" w:ascii="仿宋_GB2312" w:eastAsia="仿宋_GB2312"/>
                <w:sz w:val="24"/>
              </w:rPr>
            </w:pPr>
          </w:p>
        </w:tc>
        <w:tc>
          <w:tcPr>
            <w:tcW w:w="144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 w:hRule="atLeast"/>
        </w:trPr>
        <w:tc>
          <w:tcPr>
            <w:tcW w:w="7920"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jc w:val="center"/>
              <w:rPr>
                <w:rFonts w:hint="eastAsia" w:ascii="仿宋_GB2312" w:eastAsia="仿宋_GB2312"/>
                <w:b/>
                <w:sz w:val="28"/>
              </w:rPr>
            </w:pPr>
            <w:r>
              <w:rPr>
                <w:rFonts w:hint="eastAsia" w:ascii="仿宋_GB2312" w:eastAsia="仿宋_GB2312"/>
                <w:b/>
                <w:sz w:val="28"/>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 w:hRule="atLeast"/>
        </w:trPr>
        <w:tc>
          <w:tcPr>
            <w:tcW w:w="251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jc w:val="center"/>
              <w:rPr>
                <w:rFonts w:hint="eastAsia" w:ascii="仿宋_GB2312" w:eastAsia="仿宋_GB2312"/>
                <w:sz w:val="24"/>
              </w:rPr>
            </w:pPr>
            <w:r>
              <w:rPr>
                <w:rFonts w:hint="eastAsia" w:ascii="仿宋_GB2312" w:eastAsia="仿宋_GB2312"/>
                <w:sz w:val="24"/>
              </w:rPr>
              <w:t>支出内容</w:t>
            </w:r>
          </w:p>
          <w:p>
            <w:pPr>
              <w:widowControl w:val="0"/>
              <w:spacing w:line="440" w:lineRule="exact"/>
              <w:jc w:val="center"/>
              <w:rPr>
                <w:rFonts w:hint="eastAsia" w:ascii="仿宋_GB2312" w:eastAsia="仿宋_GB2312"/>
                <w:sz w:val="24"/>
              </w:rPr>
            </w:pPr>
            <w:r>
              <w:rPr>
                <w:rFonts w:hint="eastAsia" w:ascii="仿宋_GB2312" w:eastAsia="仿宋_GB2312"/>
                <w:sz w:val="24"/>
              </w:rPr>
              <w:t>（经济科目）</w:t>
            </w:r>
          </w:p>
        </w:tc>
        <w:tc>
          <w:tcPr>
            <w:tcW w:w="269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jc w:val="center"/>
              <w:rPr>
                <w:rFonts w:hint="eastAsia" w:ascii="仿宋_GB2312" w:eastAsia="仿宋_GB2312"/>
                <w:sz w:val="24"/>
              </w:rPr>
            </w:pPr>
            <w:r>
              <w:rPr>
                <w:rFonts w:hint="eastAsia" w:ascii="仿宋_GB2312" w:eastAsia="仿宋_GB2312"/>
                <w:sz w:val="24"/>
              </w:rPr>
              <w:t>预算支出数</w:t>
            </w:r>
          </w:p>
        </w:tc>
        <w:tc>
          <w:tcPr>
            <w:tcW w:w="271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jc w:val="center"/>
              <w:rPr>
                <w:rFonts w:hint="eastAsia" w:ascii="仿宋_GB2312" w:eastAsia="仿宋_GB2312"/>
                <w:sz w:val="24"/>
              </w:rPr>
            </w:pPr>
            <w:r>
              <w:rPr>
                <w:rFonts w:hint="eastAsia" w:ascii="仿宋_GB2312" w:eastAsia="仿宋_GB2312"/>
                <w:sz w:val="24"/>
              </w:rPr>
              <w:t>实际支出数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 w:hRule="atLeast"/>
        </w:trPr>
        <w:tc>
          <w:tcPr>
            <w:tcW w:w="251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jc w:val="center"/>
              <w:rPr>
                <w:rFonts w:hint="eastAsia" w:ascii="仿宋_GB2312" w:eastAsia="仿宋_GB2312"/>
                <w:sz w:val="24"/>
                <w:lang w:eastAsia="zh-CN"/>
              </w:rPr>
            </w:pPr>
            <w:r>
              <w:rPr>
                <w:rFonts w:hint="eastAsia" w:ascii="仿宋_GB2312" w:eastAsia="仿宋_GB2312"/>
                <w:sz w:val="24"/>
                <w:lang w:eastAsia="zh-CN"/>
              </w:rPr>
              <w:t>委托业务费</w:t>
            </w:r>
          </w:p>
        </w:tc>
        <w:tc>
          <w:tcPr>
            <w:tcW w:w="269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jc w:val="center"/>
              <w:rPr>
                <w:rFonts w:hint="eastAsia" w:ascii="仿宋_GB2312" w:eastAsia="仿宋_GB2312"/>
                <w:color w:val="FF0000"/>
                <w:sz w:val="28"/>
                <w:lang w:val="en-US"/>
              </w:rPr>
            </w:pPr>
            <w:r>
              <w:rPr>
                <w:rFonts w:hint="eastAsia" w:ascii="仿宋_GB2312" w:eastAsia="仿宋_GB2312"/>
                <w:color w:val="auto"/>
                <w:sz w:val="28"/>
                <w:lang w:val="en-US" w:eastAsia="zh-CN"/>
              </w:rPr>
              <w:t>80</w:t>
            </w:r>
          </w:p>
        </w:tc>
        <w:tc>
          <w:tcPr>
            <w:tcW w:w="271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jc w:val="center"/>
              <w:rPr>
                <w:rFonts w:hint="eastAsia" w:ascii="仿宋_GB2312" w:eastAsia="仿宋_GB2312"/>
                <w:color w:val="FF0000"/>
                <w:sz w:val="28"/>
                <w:lang w:val="en-US"/>
              </w:rPr>
            </w:pPr>
            <w:r>
              <w:rPr>
                <w:rFonts w:hint="eastAsia" w:ascii="仿宋_GB2312" w:eastAsia="仿宋_GB2312"/>
                <w:color w:val="auto"/>
                <w:sz w:val="28"/>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 w:hRule="atLeast"/>
        </w:trPr>
        <w:tc>
          <w:tcPr>
            <w:tcW w:w="251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jc w:val="center"/>
              <w:rPr>
                <w:rFonts w:hint="eastAsia" w:ascii="仿宋_GB2312" w:eastAsia="仿宋_GB2312"/>
                <w:sz w:val="24"/>
              </w:rPr>
            </w:pPr>
            <w:r>
              <w:rPr>
                <w:rFonts w:hint="eastAsia" w:ascii="仿宋_GB2312" w:hAnsi="华文中宋" w:eastAsia="仿宋_GB2312"/>
                <w:sz w:val="24"/>
              </w:rPr>
              <w:t>支出合计</w:t>
            </w:r>
          </w:p>
        </w:tc>
        <w:tc>
          <w:tcPr>
            <w:tcW w:w="269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440" w:lineRule="exact"/>
              <w:jc w:val="center"/>
              <w:rPr>
                <w:rFonts w:hint="eastAsia" w:ascii="仿宋_GB2312" w:eastAsia="仿宋_GB2312"/>
                <w:color w:val="auto"/>
                <w:sz w:val="28"/>
                <w:lang w:val="en-US" w:eastAsia="zh-CN"/>
              </w:rPr>
            </w:pPr>
            <w:r>
              <w:rPr>
                <w:rFonts w:hint="eastAsia" w:ascii="仿宋_GB2312" w:eastAsia="仿宋_GB2312"/>
                <w:color w:val="auto"/>
                <w:sz w:val="28"/>
                <w:lang w:val="en-US" w:eastAsia="zh-CN"/>
              </w:rPr>
              <w:t>80</w:t>
            </w:r>
          </w:p>
        </w:tc>
        <w:tc>
          <w:tcPr>
            <w:tcW w:w="2712"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line="440" w:lineRule="exact"/>
              <w:jc w:val="center"/>
              <w:rPr>
                <w:rFonts w:hint="eastAsia" w:ascii="仿宋_GB2312" w:eastAsia="仿宋_GB2312"/>
                <w:color w:val="auto"/>
                <w:sz w:val="28"/>
                <w:lang w:val="en-US" w:eastAsia="zh-CN"/>
              </w:rPr>
            </w:pPr>
            <w:r>
              <w:rPr>
                <w:rFonts w:hint="eastAsia" w:ascii="仿宋_GB2312" w:eastAsia="仿宋_GB2312"/>
                <w:color w:val="auto"/>
                <w:sz w:val="28"/>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4" w:hRule="atLeast"/>
        </w:trPr>
        <w:tc>
          <w:tcPr>
            <w:tcW w:w="7920"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b/>
                <w:sz w:val="28"/>
              </w:rPr>
            </w:pPr>
            <w:r>
              <w:rPr>
                <w:rFonts w:hint="eastAsia" w:ascii="仿宋_GB2312" w:eastAsia="仿宋_GB2312"/>
                <w:b/>
                <w:sz w:val="28"/>
              </w:rPr>
              <w:t>三、项目绩效目标完成情况（简要）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4" w:hRule="atLeast"/>
        </w:trPr>
        <w:tc>
          <w:tcPr>
            <w:tcW w:w="83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b/>
                <w:sz w:val="28"/>
              </w:rPr>
            </w:pPr>
            <w:r>
              <w:rPr>
                <w:rFonts w:hint="eastAsia" w:ascii="仿宋_GB2312" w:eastAsia="仿宋_GB2312"/>
                <w:sz w:val="24"/>
              </w:rPr>
              <w:t>项目绩效目标及实施计划</w:t>
            </w:r>
          </w:p>
        </w:tc>
        <w:tc>
          <w:tcPr>
            <w:tcW w:w="312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 w:val="21"/>
              </w:rPr>
            </w:pPr>
            <w:r>
              <w:rPr>
                <w:rFonts w:hint="eastAsia" w:ascii="仿宋_GB2312" w:eastAsia="仿宋_GB2312"/>
                <w:sz w:val="28"/>
              </w:rPr>
              <w:t>预期及调整情况</w:t>
            </w:r>
          </w:p>
        </w:tc>
        <w:tc>
          <w:tcPr>
            <w:tcW w:w="3962" w:type="dxa"/>
            <w:gridSpan w:val="6"/>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仿宋_GB2312" w:eastAsia="仿宋_GB2312"/>
                <w:sz w:val="21"/>
              </w:rPr>
            </w:pPr>
            <w:r>
              <w:rPr>
                <w:rFonts w:hint="eastAsia" w:ascii="仿宋_GB2312" w:eastAsia="仿宋_GB2312"/>
                <w:sz w:val="2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456" w:hRule="atLeast"/>
        </w:trPr>
        <w:tc>
          <w:tcPr>
            <w:tcW w:w="83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b/>
                <w:sz w:val="28"/>
              </w:rPr>
            </w:pPr>
          </w:p>
        </w:tc>
        <w:tc>
          <w:tcPr>
            <w:tcW w:w="312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仿宋_GB2312" w:eastAsia="仿宋_GB2312"/>
                <w:sz w:val="28"/>
                <w:lang w:val="en-US" w:eastAsia="zh-CN"/>
              </w:rPr>
            </w:pPr>
            <w:r>
              <w:rPr>
                <w:rFonts w:hint="eastAsia" w:ascii="仿宋_GB2312" w:eastAsia="仿宋_GB2312"/>
                <w:sz w:val="28"/>
                <w:lang w:eastAsia="zh-CN"/>
              </w:rPr>
              <w:t>实现市区执行工作更优，人民群众获得感更强目标。执行率达</w:t>
            </w:r>
            <w:r>
              <w:rPr>
                <w:rFonts w:hint="eastAsia" w:ascii="仿宋_GB2312" w:eastAsia="仿宋_GB2312"/>
                <w:sz w:val="28"/>
                <w:lang w:val="en-US" w:eastAsia="zh-CN"/>
              </w:rPr>
              <w:t>100%</w:t>
            </w:r>
          </w:p>
        </w:tc>
        <w:tc>
          <w:tcPr>
            <w:tcW w:w="3962" w:type="dxa"/>
            <w:gridSpan w:val="6"/>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仿宋_GB2312" w:eastAsia="仿宋_GB2312"/>
                <w:sz w:val="28"/>
                <w:lang w:eastAsia="zh-CN"/>
              </w:rPr>
            </w:pPr>
          </w:p>
          <w:p>
            <w:pPr>
              <w:rPr>
                <w:rFonts w:hint="eastAsia" w:ascii="仿宋_GB2312" w:eastAsia="仿宋_GB2312"/>
                <w:sz w:val="28"/>
                <w:lang w:eastAsia="zh-CN"/>
              </w:rPr>
            </w:pPr>
            <w:r>
              <w:rPr>
                <w:rFonts w:hint="eastAsia" w:ascii="仿宋_GB2312" w:eastAsia="仿宋_GB2312"/>
                <w:sz w:val="28"/>
                <w:lang w:eastAsia="zh-CN"/>
              </w:rPr>
              <w:t>实现市区执行工作更优，人民群众获得感更强目标。执行率达</w:t>
            </w:r>
            <w:r>
              <w:rPr>
                <w:rFonts w:hint="eastAsia" w:ascii="仿宋_GB2312" w:eastAsia="仿宋_GB2312"/>
                <w:sz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4" w:hRule="atLeast"/>
        </w:trPr>
        <w:tc>
          <w:tcPr>
            <w:tcW w:w="7920"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b/>
                <w:sz w:val="28"/>
              </w:rPr>
            </w:pPr>
            <w:r>
              <w:rPr>
                <w:rFonts w:hint="eastAsia" w:ascii="仿宋_GB2312" w:eastAsia="仿宋_GB2312"/>
                <w:b/>
                <w:sz w:val="28"/>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 w:hRule="atLeast"/>
        </w:trPr>
        <w:tc>
          <w:tcPr>
            <w:tcW w:w="14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 w:val="24"/>
              </w:rPr>
            </w:pPr>
            <w:r>
              <w:rPr>
                <w:rFonts w:hint="eastAsia" w:ascii="仿宋_GB2312" w:eastAsia="仿宋_GB2312"/>
                <w:sz w:val="24"/>
              </w:rPr>
              <w:t>姓名</w:t>
            </w:r>
          </w:p>
        </w:tc>
        <w:tc>
          <w:tcPr>
            <w:tcW w:w="198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 w:val="24"/>
              </w:rPr>
            </w:pPr>
            <w:r>
              <w:rPr>
                <w:rFonts w:hint="eastAsia" w:ascii="仿宋_GB2312" w:eastAsia="仿宋_GB2312"/>
                <w:sz w:val="24"/>
              </w:rPr>
              <w:t>单位</w:t>
            </w:r>
          </w:p>
        </w:tc>
        <w:tc>
          <w:tcPr>
            <w:tcW w:w="198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 w:val="24"/>
              </w:rPr>
            </w:pPr>
            <w:r>
              <w:rPr>
                <w:rFonts w:hint="eastAsia" w:ascii="仿宋_GB2312" w:eastAsia="仿宋_GB2312"/>
                <w:sz w:val="24"/>
              </w:rPr>
              <w:t>职务</w:t>
            </w:r>
          </w:p>
        </w:tc>
        <w:tc>
          <w:tcPr>
            <w:tcW w:w="25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 w:val="24"/>
              </w:rPr>
            </w:pPr>
            <w:r>
              <w:rPr>
                <w:rFonts w:hint="eastAsia" w:ascii="仿宋_GB2312" w:eastAsia="仿宋_GB2312"/>
                <w:sz w:val="24"/>
              </w:rPr>
              <w:t>联系电话及手机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19" w:hRule="atLeast"/>
        </w:trPr>
        <w:tc>
          <w:tcPr>
            <w:tcW w:w="14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 w:val="28"/>
                <w:lang w:eastAsia="zh-CN"/>
              </w:rPr>
            </w:pPr>
            <w:r>
              <w:rPr>
                <w:rFonts w:hint="eastAsia" w:ascii="仿宋_GB2312" w:eastAsia="仿宋_GB2312"/>
                <w:sz w:val="28"/>
                <w:lang w:eastAsia="zh-CN"/>
              </w:rPr>
              <w:t>叶文兴</w:t>
            </w:r>
          </w:p>
        </w:tc>
        <w:tc>
          <w:tcPr>
            <w:tcW w:w="198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 w:val="28"/>
              </w:rPr>
            </w:pPr>
            <w:r>
              <w:rPr>
                <w:rFonts w:hint="eastAsia" w:ascii="仿宋_GB2312" w:eastAsia="仿宋_GB2312"/>
                <w:sz w:val="28"/>
                <w:lang w:eastAsia="zh-CN"/>
              </w:rPr>
              <w:t>综合办公室</w:t>
            </w:r>
          </w:p>
        </w:tc>
        <w:tc>
          <w:tcPr>
            <w:tcW w:w="1980"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仿宋_GB2312" w:eastAsia="仿宋_GB2312"/>
                <w:sz w:val="28"/>
              </w:rPr>
            </w:pPr>
            <w:r>
              <w:rPr>
                <w:rFonts w:hint="eastAsia" w:ascii="仿宋_GB2312" w:eastAsia="仿宋_GB2312"/>
                <w:sz w:val="28"/>
                <w:lang w:eastAsia="zh-CN"/>
              </w:rPr>
              <w:t>主任</w:t>
            </w:r>
          </w:p>
        </w:tc>
        <w:tc>
          <w:tcPr>
            <w:tcW w:w="2520"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仿宋_GB2312" w:eastAsia="仿宋_GB2312"/>
                <w:sz w:val="24"/>
                <w:lang w:val="en-US" w:eastAsia="zh-CN"/>
              </w:rPr>
            </w:pPr>
            <w:r>
              <w:rPr>
                <w:rFonts w:hint="eastAsia" w:ascii="仿宋_GB2312" w:eastAsia="仿宋_GB2312"/>
                <w:sz w:val="24"/>
                <w:lang w:val="en-US" w:eastAsia="zh-CN"/>
              </w:rPr>
              <w:t>2264109</w:t>
            </w:r>
          </w:p>
          <w:p>
            <w:pPr>
              <w:jc w:val="center"/>
              <w:rPr>
                <w:rFonts w:hint="eastAsia" w:ascii="仿宋_GB2312" w:eastAsia="仿宋_GB2312"/>
                <w:sz w:val="24"/>
              </w:rPr>
            </w:pPr>
            <w:r>
              <w:rPr>
                <w:rFonts w:hint="eastAsia" w:ascii="仿宋_GB2312" w:eastAsia="仿宋_GB2312"/>
                <w:sz w:val="24"/>
              </w:rPr>
              <w:t>18358890039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19" w:hRule="atLeast"/>
        </w:trPr>
        <w:tc>
          <w:tcPr>
            <w:tcW w:w="14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 w:val="28"/>
                <w:lang w:eastAsia="zh-CN"/>
              </w:rPr>
            </w:pPr>
            <w:r>
              <w:rPr>
                <w:rFonts w:hint="eastAsia" w:ascii="仿宋_GB2312" w:eastAsia="仿宋_GB2312"/>
                <w:sz w:val="28"/>
                <w:lang w:eastAsia="zh-CN"/>
              </w:rPr>
              <w:t>罗莹冰</w:t>
            </w:r>
          </w:p>
        </w:tc>
        <w:tc>
          <w:tcPr>
            <w:tcW w:w="198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 w:val="28"/>
              </w:rPr>
            </w:pPr>
            <w:r>
              <w:rPr>
                <w:rFonts w:hint="eastAsia" w:ascii="仿宋_GB2312" w:eastAsia="仿宋_GB2312"/>
                <w:sz w:val="28"/>
              </w:rPr>
              <w:t>综合办公室</w:t>
            </w:r>
          </w:p>
        </w:tc>
        <w:tc>
          <w:tcPr>
            <w:tcW w:w="1980"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仿宋_GB2312" w:eastAsia="仿宋_GB2312"/>
                <w:sz w:val="28"/>
              </w:rPr>
            </w:pPr>
            <w:r>
              <w:rPr>
                <w:rFonts w:hint="eastAsia" w:ascii="仿宋_GB2312" w:eastAsia="仿宋_GB2312"/>
                <w:sz w:val="28"/>
                <w:lang w:eastAsia="zh-CN"/>
              </w:rPr>
              <w:t>副主任</w:t>
            </w:r>
          </w:p>
        </w:tc>
        <w:tc>
          <w:tcPr>
            <w:tcW w:w="2520"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仿宋_GB2312" w:eastAsia="仿宋_GB2312"/>
                <w:sz w:val="24"/>
              </w:rPr>
            </w:pPr>
            <w:r>
              <w:rPr>
                <w:rFonts w:hint="eastAsia" w:ascii="仿宋_GB2312" w:eastAsia="仿宋_GB2312"/>
                <w:sz w:val="24"/>
              </w:rPr>
              <w:t>2263680</w:t>
            </w:r>
          </w:p>
          <w:p>
            <w:pPr>
              <w:jc w:val="center"/>
              <w:rPr>
                <w:rFonts w:hint="eastAsia" w:ascii="仿宋_GB2312" w:eastAsia="仿宋_GB2312"/>
                <w:sz w:val="24"/>
              </w:rPr>
            </w:pPr>
            <w:r>
              <w:rPr>
                <w:rFonts w:hint="eastAsia" w:ascii="仿宋_GB2312" w:eastAsia="仿宋_GB2312"/>
                <w:sz w:val="24"/>
              </w:rPr>
              <w:t>13666575618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19" w:hRule="atLeast"/>
        </w:trPr>
        <w:tc>
          <w:tcPr>
            <w:tcW w:w="144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 w:val="28"/>
                <w:lang w:eastAsia="zh-CN"/>
              </w:rPr>
            </w:pPr>
            <w:r>
              <w:rPr>
                <w:rFonts w:hint="eastAsia" w:ascii="仿宋_GB2312" w:eastAsia="仿宋_GB2312"/>
                <w:sz w:val="28"/>
                <w:lang w:eastAsia="zh-CN"/>
              </w:rPr>
              <w:t>沈</w:t>
            </w:r>
            <w:r>
              <w:rPr>
                <w:rFonts w:hint="eastAsia" w:ascii="仿宋_GB2312" w:eastAsia="仿宋_GB2312"/>
                <w:sz w:val="28"/>
                <w:lang w:val="en-US" w:eastAsia="zh-CN"/>
              </w:rPr>
              <w:t xml:space="preserve">  </w:t>
            </w:r>
            <w:r>
              <w:rPr>
                <w:rFonts w:hint="eastAsia" w:ascii="仿宋_GB2312" w:eastAsia="仿宋_GB2312"/>
                <w:sz w:val="28"/>
                <w:lang w:eastAsia="zh-CN"/>
              </w:rPr>
              <w:t>歆</w:t>
            </w:r>
          </w:p>
        </w:tc>
        <w:tc>
          <w:tcPr>
            <w:tcW w:w="198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sz w:val="28"/>
              </w:rPr>
            </w:pPr>
            <w:r>
              <w:rPr>
                <w:rFonts w:hint="eastAsia" w:ascii="仿宋_GB2312" w:eastAsia="仿宋_GB2312"/>
                <w:sz w:val="28"/>
                <w:lang w:eastAsia="zh-CN"/>
              </w:rPr>
              <w:t>综合办公室</w:t>
            </w:r>
          </w:p>
        </w:tc>
        <w:tc>
          <w:tcPr>
            <w:tcW w:w="1980" w:type="dxa"/>
            <w:gridSpan w:val="4"/>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仿宋_GB2312" w:eastAsia="仿宋_GB2312"/>
                <w:sz w:val="28"/>
              </w:rPr>
            </w:pPr>
            <w:r>
              <w:rPr>
                <w:rFonts w:hint="eastAsia" w:ascii="仿宋_GB2312" w:eastAsia="仿宋_GB2312"/>
                <w:sz w:val="28"/>
              </w:rPr>
              <w:t>会计</w:t>
            </w:r>
          </w:p>
        </w:tc>
        <w:tc>
          <w:tcPr>
            <w:tcW w:w="2520"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仿宋_GB2312" w:eastAsia="仿宋_GB2312"/>
                <w:sz w:val="24"/>
              </w:rPr>
            </w:pPr>
            <w:r>
              <w:rPr>
                <w:rFonts w:hint="eastAsia" w:ascii="仿宋_GB2312" w:eastAsia="仿宋_GB2312"/>
                <w:sz w:val="24"/>
              </w:rPr>
              <w:t xml:space="preserve">2264118 </w:t>
            </w:r>
          </w:p>
          <w:p>
            <w:pPr>
              <w:jc w:val="center"/>
              <w:rPr>
                <w:rFonts w:hint="eastAsia" w:ascii="仿宋_GB2312" w:eastAsia="仿宋_GB2312"/>
                <w:sz w:val="28"/>
              </w:rPr>
            </w:pPr>
            <w:r>
              <w:rPr>
                <w:rFonts w:hint="eastAsia" w:ascii="仿宋_GB2312" w:eastAsia="仿宋_GB2312"/>
                <w:sz w:val="24"/>
                <w:lang w:val="en-US" w:eastAsia="zh-CN"/>
              </w:rPr>
              <w:t>15925732951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97" w:hRule="atLeast"/>
        </w:trPr>
        <w:tc>
          <w:tcPr>
            <w:tcW w:w="7920" w:type="dxa"/>
            <w:gridSpan w:val="11"/>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_GB2312" w:eastAsia="仿宋_GB2312"/>
                <w:b/>
                <w:sz w:val="28"/>
              </w:rPr>
            </w:pPr>
            <w:r>
              <w:rPr>
                <w:rFonts w:hint="eastAsia" w:ascii="仿宋_GB2312" w:eastAsia="仿宋_GB2312"/>
                <w:b/>
                <w:sz w:val="28"/>
              </w:rPr>
              <w:t>五、项目单位（评价机构）意见：</w:t>
            </w:r>
          </w:p>
          <w:p>
            <w:pPr>
              <w:rPr>
                <w:rFonts w:hint="eastAsia" w:ascii="仿宋_GB2312" w:eastAsia="仿宋_GB2312"/>
                <w:sz w:val="28"/>
              </w:rPr>
            </w:pPr>
            <w:r>
              <w:rPr>
                <w:rFonts w:hint="eastAsia" w:ascii="仿宋_GB2312" w:eastAsia="仿宋_GB2312"/>
                <w:sz w:val="28"/>
              </w:rPr>
              <w:t>同意评价结果</w:t>
            </w:r>
          </w:p>
          <w:p>
            <w:pPr>
              <w:rPr>
                <w:rFonts w:hint="eastAsia" w:ascii="仿宋_GB2312" w:eastAsia="仿宋_GB2312"/>
                <w:sz w:val="28"/>
              </w:rPr>
            </w:pPr>
          </w:p>
          <w:p>
            <w:pPr>
              <w:rPr>
                <w:rFonts w:hint="eastAsia" w:ascii="仿宋_GB2312" w:eastAsia="仿宋_GB2312"/>
                <w:sz w:val="28"/>
              </w:rPr>
            </w:pPr>
            <w:r>
              <w:rPr>
                <w:rFonts w:hint="eastAsia" w:ascii="仿宋_GB2312" w:eastAsia="仿宋_GB2312"/>
                <w:sz w:val="28"/>
              </w:rPr>
              <w:t xml:space="preserve">                                （盖章）</w:t>
            </w:r>
          </w:p>
          <w:p>
            <w:pPr>
              <w:ind w:firstLine="4340" w:firstLineChars="1550"/>
              <w:rPr>
                <w:rFonts w:hint="eastAsia" w:ascii="仿宋_GB2312" w:eastAsia="仿宋_GB2312"/>
                <w:sz w:val="28"/>
              </w:rPr>
            </w:pPr>
            <w:r>
              <w:rPr>
                <w:rFonts w:hint="eastAsia" w:ascii="仿宋_GB2312" w:eastAsia="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246" w:hRule="atLeast"/>
        </w:trPr>
        <w:tc>
          <w:tcPr>
            <w:tcW w:w="7920" w:type="dxa"/>
            <w:gridSpan w:val="11"/>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仿宋_GB2312" w:eastAsia="仿宋_GB2312"/>
                <w:b/>
                <w:sz w:val="28"/>
              </w:rPr>
            </w:pPr>
            <w:r>
              <w:rPr>
                <w:rFonts w:hint="eastAsia" w:ascii="仿宋_GB2312" w:eastAsia="仿宋_GB2312"/>
                <w:b/>
                <w:sz w:val="28"/>
              </w:rPr>
              <w:t>六、主管部门审核意见：</w:t>
            </w:r>
          </w:p>
          <w:p>
            <w:pPr>
              <w:rPr>
                <w:rFonts w:hint="eastAsia" w:ascii="仿宋_GB2312" w:eastAsia="仿宋_GB2312"/>
                <w:sz w:val="28"/>
              </w:rPr>
            </w:pPr>
            <w:r>
              <w:rPr>
                <w:rFonts w:hint="eastAsia" w:ascii="仿宋_GB2312" w:eastAsia="仿宋_GB2312"/>
                <w:sz w:val="28"/>
              </w:rPr>
              <w:t>同意评价结果</w:t>
            </w:r>
          </w:p>
          <w:p>
            <w:pPr>
              <w:rPr>
                <w:rFonts w:hint="eastAsia" w:ascii="仿宋_GB2312" w:eastAsia="仿宋_GB2312"/>
                <w:sz w:val="28"/>
              </w:rPr>
            </w:pPr>
          </w:p>
          <w:p>
            <w:pPr>
              <w:rPr>
                <w:rFonts w:hint="eastAsia" w:ascii="仿宋_GB2312" w:eastAsia="仿宋_GB2312"/>
                <w:sz w:val="28"/>
              </w:rPr>
            </w:pPr>
            <w:r>
              <w:rPr>
                <w:rFonts w:hint="eastAsia" w:ascii="仿宋_GB2312" w:eastAsia="仿宋_GB2312"/>
                <w:sz w:val="28"/>
              </w:rPr>
              <w:t xml:space="preserve">                                 （盖单）</w:t>
            </w:r>
          </w:p>
          <w:p>
            <w:pPr>
              <w:wordWrap w:val="0"/>
              <w:rPr>
                <w:rFonts w:hint="eastAsia" w:ascii="仿宋_GB2312" w:eastAsia="仿宋_GB2312"/>
                <w:sz w:val="28"/>
              </w:rPr>
            </w:pPr>
            <w:r>
              <w:rPr>
                <w:rFonts w:hint="eastAsia" w:ascii="仿宋_GB2312" w:eastAsia="仿宋_GB2312"/>
                <w:sz w:val="28"/>
              </w:rPr>
              <w:t xml:space="preserve">                               年   月  日</w:t>
            </w:r>
          </w:p>
        </w:tc>
      </w:tr>
    </w:tbl>
    <w:p>
      <w:pPr>
        <w:spacing w:line="324" w:lineRule="auto"/>
        <w:rPr>
          <w:rFonts w:hint="eastAsia" w:ascii="仿宋" w:hAnsi="仿宋" w:eastAsia="仿宋_GB2312"/>
          <w:color w:val="000000"/>
          <w:sz w:val="32"/>
          <w:highlight w:val="white"/>
          <w:lang w:val="zh-CN" w:eastAsia="zh-CN"/>
        </w:rPr>
      </w:pPr>
    </w:p>
    <w:p>
      <w:pPr>
        <w:pStyle w:val="2"/>
        <w:spacing w:line="324" w:lineRule="auto"/>
        <w:ind w:firstLine="600"/>
        <w:rPr>
          <w:rFonts w:hint="eastAsia" w:ascii="仿宋" w:hAnsi="仿宋" w:eastAsia="仿宋"/>
          <w:b/>
          <w:color w:val="auto"/>
          <w:kern w:val="2"/>
          <w:sz w:val="32"/>
          <w:highlight w:val="white"/>
        </w:rPr>
      </w:pPr>
      <w:r>
        <w:rPr>
          <w:rFonts w:hint="eastAsia" w:ascii="仿宋" w:hAnsi="仿宋" w:eastAsia="仿宋"/>
          <w:b/>
          <w:color w:val="auto"/>
          <w:kern w:val="2"/>
          <w:sz w:val="32"/>
          <w:highlight w:val="white"/>
        </w:rPr>
        <w:t>3.财政评价项目绩效评价结果（无）。</w:t>
      </w:r>
    </w:p>
    <w:p>
      <w:pPr>
        <w:pStyle w:val="2"/>
        <w:spacing w:line="324" w:lineRule="auto"/>
        <w:ind w:firstLine="600"/>
        <w:rPr>
          <w:rFonts w:hint="eastAsia" w:ascii="仿宋" w:hAnsi="仿宋" w:eastAsia="仿宋"/>
          <w:b/>
          <w:color w:val="auto"/>
          <w:kern w:val="2"/>
          <w:sz w:val="32"/>
          <w:highlight w:val="white"/>
        </w:rPr>
      </w:pPr>
      <w:r>
        <w:rPr>
          <w:rFonts w:hint="eastAsia" w:ascii="仿宋" w:hAnsi="仿宋" w:eastAsia="仿宋"/>
          <w:b/>
          <w:color w:val="auto"/>
          <w:kern w:val="2"/>
          <w:sz w:val="32"/>
          <w:highlight w:val="white"/>
        </w:rPr>
        <w:t>4.部门评价项目绩效评价结果。</w:t>
      </w:r>
    </w:p>
    <w:p>
      <w:pPr>
        <w:spacing w:line="324" w:lineRule="auto"/>
        <w:ind w:firstLine="594"/>
        <w:rPr>
          <w:rFonts w:hint="eastAsia" w:ascii="仿宋" w:hAnsi="仿宋" w:eastAsia="仿宋"/>
          <w:color w:val="000000"/>
          <w:sz w:val="32"/>
          <w:highlight w:val="white"/>
          <w:lang w:val="en-US" w:eastAsia="zh-CN"/>
        </w:rPr>
      </w:pPr>
      <w:r>
        <w:rPr>
          <w:rFonts w:hint="eastAsia" w:ascii="仿宋" w:hAnsi="仿宋" w:eastAsia="仿宋"/>
          <w:color w:val="000000"/>
          <w:sz w:val="32"/>
          <w:highlight w:val="white"/>
          <w:lang w:val="en-US" w:eastAsia="zh-CN"/>
        </w:rPr>
        <w:t>2021年</w:t>
      </w:r>
      <w:r>
        <w:rPr>
          <w:rFonts w:hint="eastAsia" w:ascii="仿宋" w:hAnsi="仿宋" w:eastAsia="仿宋"/>
          <w:color w:val="000000"/>
          <w:sz w:val="32"/>
          <w:lang w:val="en-US" w:eastAsia="zh-CN"/>
        </w:rPr>
        <w:t>区级部门绩效评价完成情况表中包含重点自评项目1个，评价结论中优秀1个。一般自评项目11个，评价结论中不合格1个，良好1个，优秀9个。详见附件。</w:t>
      </w:r>
    </w:p>
    <w:p>
      <w:pPr>
        <w:spacing w:line="324" w:lineRule="auto"/>
        <w:ind w:firstLine="600"/>
        <w:rPr>
          <w:rFonts w:hint="default" w:eastAsia="Times New Roman"/>
          <w:b/>
          <w:color w:val="000000"/>
          <w:sz w:val="32"/>
          <w:highlight w:val="white"/>
          <w:lang w:val="en-US"/>
        </w:rPr>
      </w:pPr>
      <w:r>
        <w:rPr>
          <w:rFonts w:hint="eastAsia" w:ascii="黑体" w:hAnsi="黑体" w:eastAsia="黑体"/>
          <w:b/>
          <w:color w:val="000000"/>
          <w:sz w:val="32"/>
          <w:highlight w:val="white"/>
          <w:lang w:val="en-US"/>
        </w:rPr>
        <w:t>四、名词解释</w:t>
      </w:r>
    </w:p>
    <w:p>
      <w:pPr>
        <w:spacing w:line="324" w:lineRule="auto"/>
        <w:ind w:firstLine="594"/>
        <w:rPr>
          <w:rFonts w:hint="eastAsia" w:ascii="仿宋" w:hAnsi="仿宋" w:eastAsia="仿宋"/>
          <w:color w:val="000000"/>
          <w:sz w:val="32"/>
          <w:highlight w:val="white"/>
          <w:lang w:val="zh-CN"/>
        </w:rPr>
      </w:pPr>
      <w:r>
        <w:rPr>
          <w:rFonts w:hint="eastAsia" w:ascii="仿宋" w:hAnsi="仿宋" w:eastAsia="仿宋"/>
          <w:color w:val="000000"/>
          <w:sz w:val="32"/>
          <w:highlight w:val="white"/>
          <w:lang w:val="zh-CN"/>
        </w:rPr>
        <w:t>1.财政拨款收入：指本级财政部门当年拨付的财政预算资金，包括一般公共预算财政拨款、政府性基金预算财政拨款和国有资本经营预算财政拨款。</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zh-CN"/>
        </w:rPr>
        <w:t>2.事业收入：指事业单位开展专业业务活动及辅助活动所取得的收入。</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3.经营收入：指事业单位在专业业务活动及辅助活动之外开展非独立核算经营活动取得的收入。</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4.上级补助收入：指事业单位从主管部门和上级单位取得的非财政补助收入。</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5.附属单位上缴收入：指事业单位附属独立核算单位按照有关规定上缴的收入。</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6.其他收入：指预算单位在“财政拨款”、“事业收入”、“经营收入”、“上级补助收入”、“附属单位上缴收入”等之外取得的各项收入。</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7.使用非财政拨款结余：指事业单位使用以前年度积累的非财政拨款结余弥补当年收支差额的金额。</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8.年初结转和结余：指预算单位以前年度尚未完成、结转到本年仍按原规定用途继续使用的资金。</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9.年末结转和结余：指单位按有关规定结转到下年或以后年度继续使用的资金。</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10.基本支出：指预算单位为保障其正常运转，完成日常工作任务所发生的支出，包括人员经费支出和日常公用经费支出。</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11.项目支出：指预算单位为完成其特定的行政工作任务或事业发展目标所发生的支出。</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12.上缴上级支出：填列事业单位按照财政部门和主管部门的规定上缴上级单位的支出。</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13.经营支出：指事业单位在专业业务活动及其辅助活动之外开展非独立核算经营活动发生的支出。</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14.附属单位补助支出：填列事业单位用财政补助收入之外的收入对附属单位补助发生的支出。</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15.“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费、维修费、过桥过路费、保险费等支出；公务接待费反映单位按规定开支的各类公务接待（含外宾接待）支出。</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16.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17.公共安全支出（类）法院（款）行政运行（项）：指院的基本支出。</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18.公共安全支出（类）法院（款）案件审判（项）：指法院对刑事、民事、行政、涉外等案件审判活动的支出。</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rPr>
        <w:t>19.公共安全支出（类）法院（款）案件执行（项）：对刑事、民事、行政、涉外等案件执行活动和对各种非诉执行活动的支出。</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eastAsia="zh-CN"/>
        </w:rPr>
        <w:t>20.</w:t>
      </w:r>
      <w:r>
        <w:rPr>
          <w:rFonts w:hint="eastAsia" w:ascii="仿宋" w:hAnsi="仿宋" w:eastAsia="仿宋"/>
          <w:color w:val="000000"/>
          <w:sz w:val="32"/>
          <w:highlight w:val="white"/>
          <w:lang w:val="en-US"/>
        </w:rPr>
        <w:t>公共安全支出（类）法院（款）两庭建设（项）：指人民法院审判用房、人民法庭用房维修和设备购置，以及审判安全监控设备购置及运行管理等支出。</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eastAsia="zh-CN"/>
        </w:rPr>
        <w:t>21.</w:t>
      </w:r>
      <w:r>
        <w:rPr>
          <w:rFonts w:hint="eastAsia" w:ascii="仿宋" w:hAnsi="仿宋" w:eastAsia="仿宋"/>
          <w:color w:val="000000"/>
          <w:sz w:val="32"/>
          <w:highlight w:val="white"/>
          <w:lang w:val="en-US"/>
        </w:rPr>
        <w:t>公共安全支出（类）法院（款）机关服务（项）：指法院用于物业管理费支出。</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eastAsia="zh-CN"/>
        </w:rPr>
        <w:t>22.</w:t>
      </w:r>
      <w:r>
        <w:rPr>
          <w:rFonts w:hint="eastAsia" w:ascii="仿宋" w:hAnsi="仿宋" w:eastAsia="仿宋"/>
          <w:color w:val="000000"/>
          <w:sz w:val="32"/>
          <w:highlight w:val="white"/>
          <w:lang w:val="en-US"/>
        </w:rPr>
        <w:t>公共安全支出（类）法院（款）其他法院支出（项）：指法院除上述项目以外其他支出。</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eastAsia="zh-CN"/>
        </w:rPr>
        <w:t>23.</w:t>
      </w:r>
      <w:r>
        <w:rPr>
          <w:rFonts w:hint="eastAsia" w:ascii="仿宋" w:hAnsi="仿宋" w:eastAsia="仿宋"/>
          <w:color w:val="000000"/>
          <w:sz w:val="32"/>
          <w:highlight w:val="white"/>
          <w:lang w:val="en-US"/>
        </w:rPr>
        <w:t>社会保障和就业支出（类）行政事业部门离退休（款）机关事业部门基本养老保险缴费支出（项）：指部门缴纳的基本养老保险费支出；</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eastAsia="zh-CN"/>
        </w:rPr>
        <w:t>24.</w:t>
      </w:r>
      <w:r>
        <w:rPr>
          <w:rFonts w:hint="eastAsia" w:ascii="仿宋" w:hAnsi="仿宋" w:eastAsia="仿宋"/>
          <w:color w:val="000000"/>
          <w:sz w:val="32"/>
          <w:highlight w:val="white"/>
          <w:lang w:val="en-US"/>
        </w:rPr>
        <w:t>社会保障和就业支出（类）行政事业部门离退休（款）机关事业部门职业年金缴费支出（项）：指部门实际缴纳职业年金支出；</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eastAsia="zh-CN"/>
        </w:rPr>
        <w:t>25.</w:t>
      </w:r>
      <w:r>
        <w:rPr>
          <w:rFonts w:hint="eastAsia" w:ascii="仿宋" w:hAnsi="仿宋" w:eastAsia="仿宋"/>
          <w:color w:val="000000"/>
          <w:sz w:val="32"/>
          <w:highlight w:val="white"/>
          <w:lang w:val="en-US"/>
        </w:rPr>
        <w:t>社会保障和就业支出（类）行政事业部门离退休（款）其他行政事业部门离退休支出（项）：指部门用于离退休方面支出。</w:t>
      </w:r>
    </w:p>
    <w:p>
      <w:pPr>
        <w:spacing w:line="324" w:lineRule="auto"/>
        <w:ind w:firstLine="594"/>
        <w:rPr>
          <w:rFonts w:hint="eastAsia" w:ascii="仿宋" w:hAnsi="仿宋" w:eastAsia="仿宋"/>
          <w:color w:val="000000"/>
          <w:sz w:val="32"/>
          <w:highlight w:val="white"/>
          <w:lang w:val="en-US"/>
        </w:rPr>
      </w:pPr>
      <w:r>
        <w:rPr>
          <w:rFonts w:hint="eastAsia" w:ascii="仿宋" w:hAnsi="仿宋" w:eastAsia="仿宋"/>
          <w:color w:val="000000"/>
          <w:sz w:val="32"/>
          <w:highlight w:val="white"/>
          <w:lang w:val="en-US" w:eastAsia="zh-CN"/>
        </w:rPr>
        <w:t>26.</w:t>
      </w:r>
      <w:r>
        <w:rPr>
          <w:rFonts w:hint="eastAsia" w:ascii="仿宋" w:hAnsi="仿宋" w:eastAsia="仿宋"/>
          <w:color w:val="000000"/>
          <w:sz w:val="32"/>
          <w:highlight w:val="white"/>
          <w:lang w:val="en-US"/>
        </w:rPr>
        <w:t>卫生健康支出（类）行政事业部门医疗（款）行政部门医疗（项）：指部门缴纳医疗保险费支出。</w:t>
      </w:r>
    </w:p>
    <w:p>
      <w:pPr>
        <w:spacing w:line="324" w:lineRule="auto"/>
        <w:ind w:firstLine="594"/>
        <w:rPr>
          <w:rFonts w:hint="eastAsia" w:ascii="宋体" w:hAnsi="宋体"/>
          <w:color w:val="auto"/>
          <w:kern w:val="0"/>
          <w:sz w:val="18"/>
          <w:lang w:val="zh-CN"/>
        </w:rPr>
      </w:pPr>
      <w:r>
        <w:rPr>
          <w:rFonts w:hint="eastAsia" w:ascii="仿宋" w:hAnsi="仿宋" w:eastAsia="仿宋"/>
          <w:color w:val="000000"/>
          <w:sz w:val="32"/>
          <w:highlight w:val="white"/>
          <w:lang w:val="en-US" w:eastAsia="zh-CN"/>
        </w:rPr>
        <w:t>27.</w:t>
      </w:r>
      <w:r>
        <w:rPr>
          <w:rFonts w:hint="eastAsia" w:ascii="仿宋" w:hAnsi="仿宋" w:eastAsia="仿宋"/>
          <w:color w:val="000000"/>
          <w:sz w:val="32"/>
          <w:highlight w:val="white"/>
          <w:lang w:val="en-US"/>
        </w:rPr>
        <w:t>住房保障支出（类）住房改革支出（款）住房公积金（项）：指部门为职工缴纳的住房公积金支出。</w:t>
      </w:r>
    </w:p>
    <w:p>
      <w:pPr>
        <w:jc w:val="left"/>
        <w:rPr>
          <w:rFonts w:hint="eastAsia" w:ascii="宋体" w:hAnsi="宋体"/>
          <w:color w:val="auto"/>
          <w:kern w:val="0"/>
          <w:sz w:val="18"/>
          <w:lang w:val="zh-CN"/>
        </w:rPr>
      </w:pPr>
    </w:p>
    <w:p>
      <w:pPr>
        <w:jc w:val="left"/>
        <w:rPr>
          <w:rFonts w:hint="eastAsia" w:ascii="黑体" w:hAnsi="黑体" w:eastAsia="黑体"/>
          <w:color w:val="auto"/>
          <w:spacing w:val="15"/>
          <w:sz w:val="44"/>
          <w:lang w:val="en-US"/>
        </w:rPr>
      </w:pPr>
    </w:p>
    <w:p>
      <w:pPr>
        <w:jc w:val="left"/>
        <w:rPr>
          <w:rFonts w:hint="eastAsia" w:ascii="宋体" w:hAnsi="宋体"/>
          <w:color w:val="auto"/>
          <w:kern w:val="0"/>
          <w:sz w:val="18"/>
          <w:lang w:val="zh-CN"/>
        </w:rPr>
      </w:pPr>
    </w:p>
    <w:p>
      <w:pPr>
        <w:jc w:val="left"/>
        <w:rPr>
          <w:rFonts w:hint="eastAsia" w:ascii="宋体" w:hAnsi="宋体"/>
          <w:color w:val="auto"/>
          <w:kern w:val="0"/>
          <w:sz w:val="18"/>
          <w:lang w:val="zh-CN"/>
        </w:rPr>
      </w:pPr>
    </w:p>
    <w:p>
      <w:pPr>
        <w:jc w:val="left"/>
        <w:rPr>
          <w:rFonts w:hint="eastAsia" w:ascii="宋体" w:hAnsi="宋体"/>
          <w:color w:val="auto"/>
          <w:kern w:val="0"/>
          <w:sz w:val="18"/>
          <w:lang w:val="zh-CN"/>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CFF28"/>
    <w:multiLevelType w:val="multilevel"/>
    <w:tmpl w:val="267CFF28"/>
    <w:lvl w:ilvl="0" w:tentative="0">
      <w:start w:val="7"/>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7FC63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0"/>
    <w:pPr>
      <w:jc w:val="both"/>
    </w:pPr>
    <w:rPr>
      <w:rFonts w:hint="default" w:ascii="Times New Roman" w:hAnsi="Times New Roman" w:eastAsia="宋体"/>
      <w:kern w:val="2"/>
      <w:sz w:val="21"/>
    </w:rPr>
  </w:style>
  <w:style w:type="character" w:default="1" w:styleId="4">
    <w:name w:val="Default Paragraph Font"/>
    <w:unhideWhenUsed/>
    <w:uiPriority w:val="99"/>
    <w:rPr>
      <w:rFonts w:hint="default"/>
      <w:sz w:val="24"/>
    </w:rPr>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unhideWhenUsed/>
    <w:uiPriority w:val="0"/>
    <w:pPr>
      <w:jc w:val="left"/>
    </w:pPr>
    <w:rPr>
      <w:rFonts w:hint="default"/>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2023-09-22T08:12:40Z</dcterms:created>
  <dc:creator>Administrator</dc:creator>
  <cp:lastModifiedBy>Administrator</cp:lastModifiedBy>
  <dcterms:modified xsi:type="dcterms:W3CDTF">2023-09-22T08:12:59Z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