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24" w:lineRule="auto"/>
        <w:jc w:val="center"/>
        <w:rPr>
          <w:rFonts w:hint="eastAsia" w:ascii="黑体" w:hAnsi="黑体" w:eastAsia="黑体"/>
          <w:b/>
          <w:spacing w:val="15"/>
          <w:sz w:val="44"/>
          <w:highlight w:val="white"/>
          <w:lang w:eastAsia="zh-CN"/>
        </w:rPr>
      </w:pPr>
      <w:bookmarkStart w:id="0" w:name="_GoBack"/>
      <w:bookmarkEnd w:id="0"/>
      <w:r>
        <w:rPr>
          <w:rFonts w:hint="eastAsia" w:ascii="黑体" w:hAnsi="黑体" w:eastAsia="黑体"/>
          <w:b/>
          <w:spacing w:val="15"/>
          <w:sz w:val="44"/>
          <w:highlight w:val="white"/>
          <w:lang w:eastAsia="zh-CN"/>
        </w:rPr>
        <w:t>莲都区人民法院审判保障服务中心</w:t>
      </w:r>
    </w:p>
    <w:p>
      <w:pPr>
        <w:spacing w:beforeLines="0" w:afterLines="0" w:line="324" w:lineRule="auto"/>
        <w:jc w:val="center"/>
        <w:rPr>
          <w:rFonts w:hint="eastAsia" w:ascii="黑体" w:hAnsi="黑体" w:eastAsia="黑体"/>
          <w:b/>
          <w:color w:val="000000"/>
          <w:sz w:val="44"/>
          <w:highlight w:val="white"/>
        </w:rPr>
      </w:pPr>
      <w:r>
        <w:rPr>
          <w:rFonts w:hint="eastAsia" w:ascii="黑体" w:hAnsi="黑体" w:eastAsia="黑体"/>
          <w:b/>
          <w:color w:val="000000"/>
          <w:sz w:val="44"/>
          <w:highlight w:val="white"/>
        </w:rPr>
        <w:t>2021年度单位决算目录</w:t>
      </w:r>
    </w:p>
    <w:p>
      <w:pPr>
        <w:spacing w:beforeLines="0" w:afterLines="0" w:line="324" w:lineRule="auto"/>
        <w:jc w:val="left"/>
        <w:rPr>
          <w:rFonts w:hint="eastAsia" w:ascii="等线" w:hAnsi="等线" w:eastAsia="等线"/>
          <w:color w:val="auto"/>
          <w:sz w:val="22"/>
        </w:rPr>
      </w:pPr>
      <w:r>
        <w:rPr>
          <w:rFonts w:hint="eastAsia" w:ascii="等线" w:hAnsi="等线" w:eastAsia="等线"/>
          <w:color w:val="000000"/>
          <w:sz w:val="22"/>
          <w:highlight w:val="white"/>
        </w:rPr>
        <w:t>一、概况.........................................................................................................................</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 xml:space="preserve"> )</w:t>
      </w:r>
    </w:p>
    <w:p>
      <w:pPr>
        <w:spacing w:beforeLines="0" w:afterLines="0"/>
        <w:ind w:left="420"/>
        <w:jc w:val="left"/>
        <w:rPr>
          <w:rFonts w:hint="eastAsia" w:ascii="等线" w:hAnsi="等线" w:eastAsia="等线"/>
          <w:color w:val="auto"/>
          <w:sz w:val="22"/>
        </w:rPr>
      </w:pPr>
      <w:r>
        <w:rPr>
          <w:rFonts w:hint="eastAsia" w:ascii="等线" w:hAnsi="等线" w:eastAsia="等线"/>
          <w:color w:val="000000"/>
          <w:sz w:val="22"/>
          <w:highlight w:val="white"/>
        </w:rPr>
        <w:t>（一）单位职责........................................................................................................</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 xml:space="preserve"> )</w:t>
      </w:r>
    </w:p>
    <w:p>
      <w:pPr>
        <w:spacing w:beforeLines="0" w:afterLines="0"/>
        <w:ind w:left="420"/>
        <w:jc w:val="left"/>
        <w:rPr>
          <w:rFonts w:hint="eastAsia" w:ascii="等线" w:hAnsi="等线" w:eastAsia="等线"/>
          <w:color w:val="auto"/>
          <w:sz w:val="22"/>
        </w:rPr>
      </w:pPr>
      <w:r>
        <w:rPr>
          <w:rFonts w:hint="eastAsia" w:ascii="等线" w:hAnsi="等线" w:eastAsia="等线"/>
          <w:color w:val="000000"/>
          <w:sz w:val="22"/>
          <w:highlight w:val="white"/>
        </w:rPr>
        <w:t>（二）机构设置........................................................................................................</w:t>
      </w:r>
      <w:r>
        <w:rPr>
          <w:rFonts w:hint="eastAsia" w:ascii="等线" w:hAnsi="等线" w:eastAsia="等线"/>
          <w:color w:val="auto"/>
          <w:sz w:val="22"/>
        </w:rPr>
        <w:t>(</w:t>
      </w:r>
      <w:r>
        <w:rPr>
          <w:rFonts w:hint="eastAsia" w:ascii="等线" w:hAnsi="等线" w:eastAsia="等线"/>
          <w:color w:val="auto"/>
          <w:sz w:val="22"/>
          <w:lang w:val="en-US" w:eastAsia="zh-CN"/>
        </w:rPr>
        <w:t xml:space="preserve"> 2</w:t>
      </w:r>
      <w:r>
        <w:rPr>
          <w:rFonts w:hint="eastAsia" w:ascii="等线" w:hAnsi="等线" w:eastAsia="等线"/>
          <w:color w:val="auto"/>
          <w:sz w:val="22"/>
        </w:rPr>
        <w:t xml:space="preserve"> )</w:t>
      </w:r>
    </w:p>
    <w:p>
      <w:pPr>
        <w:spacing w:beforeLines="0" w:afterLines="0"/>
        <w:jc w:val="left"/>
        <w:rPr>
          <w:rFonts w:hint="eastAsia" w:ascii="等线" w:hAnsi="等线" w:eastAsia="等线"/>
          <w:color w:val="auto"/>
          <w:sz w:val="22"/>
        </w:rPr>
      </w:pPr>
      <w:r>
        <w:rPr>
          <w:rFonts w:hint="eastAsia" w:ascii="等线" w:hAnsi="等线" w:eastAsia="等线"/>
          <w:color w:val="auto"/>
          <w:sz w:val="22"/>
        </w:rPr>
        <w:t>二、</w:t>
      </w:r>
      <w:r>
        <w:rPr>
          <w:rFonts w:hint="eastAsia" w:ascii="等线" w:hAnsi="等线" w:eastAsia="等线"/>
          <w:color w:val="000000"/>
          <w:sz w:val="22"/>
          <w:highlight w:val="white"/>
        </w:rPr>
        <w:t>2021年度单位决算公开表........................................................................................</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w:t>
      </w:r>
    </w:p>
    <w:p>
      <w:pPr>
        <w:spacing w:beforeLines="0" w:afterLines="0"/>
        <w:jc w:val="left"/>
        <w:rPr>
          <w:rFonts w:hint="eastAsia" w:ascii="等线" w:hAnsi="等线" w:eastAsia="等线"/>
          <w:color w:val="auto"/>
          <w:sz w:val="22"/>
          <w:lang w:val="en-US"/>
        </w:rPr>
      </w:pPr>
      <w:r>
        <w:rPr>
          <w:rFonts w:hint="eastAsia" w:ascii="等线" w:hAnsi="等线" w:eastAsia="等线"/>
          <w:color w:val="auto"/>
          <w:sz w:val="22"/>
          <w:highlight w:val="white"/>
          <w:lang w:val="zh-CN"/>
        </w:rPr>
        <w:t>三、</w:t>
      </w:r>
      <w:r>
        <w:rPr>
          <w:rFonts w:hint="eastAsia" w:ascii="等线" w:hAnsi="等线" w:eastAsia="等线"/>
          <w:color w:val="000000"/>
          <w:sz w:val="22"/>
          <w:highlight w:val="white"/>
          <w:lang w:val="en-US"/>
        </w:rPr>
        <w:t>2021年度单位决算情况说明..........</w:t>
      </w:r>
      <w:r>
        <w:rPr>
          <w:rFonts w:hint="eastAsia" w:ascii="等线" w:hAnsi="等线" w:eastAsia="等线"/>
          <w:color w:val="000000"/>
          <w:sz w:val="22"/>
          <w:highlight w:val="white"/>
        </w:rPr>
        <w:t>............</w:t>
      </w:r>
      <w:r>
        <w:rPr>
          <w:rFonts w:hint="eastAsia" w:ascii="等线" w:hAnsi="等线" w:eastAsia="等线"/>
          <w:color w:val="000000"/>
          <w:sz w:val="22"/>
          <w:highlight w:val="white"/>
          <w:lang w:val="en-US"/>
        </w:rPr>
        <w:t>...............................................................</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2</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（一）收入支出决算总体情况说明...........................................................................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2</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（二）收入决算情况说明.........................................................................................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2</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（三）支出决算情况说明.........................................................................................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2</w:t>
      </w:r>
      <w:r>
        <w:rPr>
          <w:rFonts w:hint="eastAsia" w:ascii="等线" w:hAnsi="等线" w:eastAsia="等线"/>
          <w:color w:val="auto"/>
          <w:sz w:val="22"/>
          <w:lang w:val="en-US"/>
        </w:rPr>
        <w:t>)</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（四）财政拨款收入支出决算总体情况说明.............................................................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3</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（五）一般公共预算财政拨款支出决算情况说明......................................................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3</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（六）一般公共预算财政拨款基本支出决算情况说明.............................................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5</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（七）政府性基金预算财政拨款支出</w:t>
      </w:r>
      <w:r>
        <w:rPr>
          <w:rFonts w:hint="eastAsia" w:ascii="等线" w:hAnsi="等线" w:eastAsia="等线"/>
          <w:color w:val="000000"/>
          <w:sz w:val="22"/>
          <w:highlight w:val="white"/>
          <w:lang w:val="zh-CN"/>
        </w:rPr>
        <w:t>决算</w:t>
      </w:r>
      <w:r>
        <w:rPr>
          <w:rFonts w:hint="eastAsia" w:ascii="等线" w:hAnsi="等线" w:eastAsia="等线"/>
          <w:color w:val="000000"/>
          <w:sz w:val="22"/>
          <w:highlight w:val="white"/>
          <w:lang w:val="en-US"/>
        </w:rPr>
        <w:t>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5</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（八）国有资本经营预算财政拨款支出</w:t>
      </w:r>
      <w:r>
        <w:rPr>
          <w:rFonts w:hint="eastAsia" w:ascii="等线" w:hAnsi="等线" w:eastAsia="等线"/>
          <w:color w:val="000000"/>
          <w:sz w:val="22"/>
          <w:highlight w:val="white"/>
          <w:lang w:val="zh-CN"/>
        </w:rPr>
        <w:t>决算</w:t>
      </w:r>
      <w:r>
        <w:rPr>
          <w:rFonts w:hint="eastAsia" w:ascii="等线" w:hAnsi="等线" w:eastAsia="等线"/>
          <w:color w:val="000000"/>
          <w:sz w:val="22"/>
          <w:highlight w:val="white"/>
          <w:lang w:val="en-US"/>
        </w:rPr>
        <w:t>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 xml:space="preserve">6 </w:t>
      </w:r>
      <w:r>
        <w:rPr>
          <w:rFonts w:hint="eastAsia" w:ascii="等线" w:hAnsi="等线" w:eastAsia="等线"/>
          <w:color w:val="auto"/>
          <w:sz w:val="22"/>
          <w:lang w:val="en-US"/>
        </w:rPr>
        <w:t>)</w:t>
      </w:r>
    </w:p>
    <w:p>
      <w:pPr>
        <w:spacing w:beforeLines="0" w:afterLines="0"/>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（九）一般公共预算财政拨款“三公”经费支出决算情况说明....................................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 xml:space="preserve">7 </w:t>
      </w:r>
      <w:r>
        <w:rPr>
          <w:rFonts w:hint="eastAsia" w:ascii="等线" w:hAnsi="等线" w:eastAsia="等线"/>
          <w:color w:val="auto"/>
          <w:sz w:val="22"/>
          <w:lang w:val="en-US"/>
        </w:rPr>
        <w:t>)</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（十）机关运行经费支出说明................................................................................</w:t>
      </w:r>
      <w:r>
        <w:rPr>
          <w:rFonts w:hint="eastAsia" w:ascii="等线" w:hAnsi="等线" w:eastAsia="等线"/>
          <w:color w:val="000000"/>
          <w:sz w:val="22"/>
          <w:highlight w:val="white"/>
          <w:lang w:val="en-US" w:eastAsia="zh-CN"/>
        </w:rPr>
        <w:t xml:space="preserve"> </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8</w:t>
      </w:r>
      <w:r>
        <w:rPr>
          <w:rFonts w:hint="eastAsia" w:ascii="等线" w:hAnsi="等线" w:eastAsia="等线"/>
          <w:color w:val="auto"/>
          <w:sz w:val="22"/>
          <w:lang w:val="en-US"/>
        </w:rPr>
        <w:t xml:space="preserve"> )</w:t>
      </w:r>
    </w:p>
    <w:p>
      <w:pPr>
        <w:spacing w:beforeLines="0" w:afterLines="0"/>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（十一）政府采购支出说明....................................................................................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 xml:space="preserve">9 </w:t>
      </w:r>
      <w:r>
        <w:rPr>
          <w:rFonts w:hint="eastAsia" w:ascii="等线" w:hAnsi="等线" w:eastAsia="等线"/>
          <w:color w:val="auto"/>
          <w:sz w:val="22"/>
          <w:lang w:val="en-US"/>
        </w:rPr>
        <w:t>)</w:t>
      </w:r>
    </w:p>
    <w:p>
      <w:pPr>
        <w:spacing w:beforeLines="0" w:afterLines="0"/>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（十二）国有资产占有情况说明.............................................................................</w:t>
      </w:r>
      <w:r>
        <w:rPr>
          <w:rFonts w:hint="eastAsia" w:ascii="等线" w:hAnsi="等线" w:eastAsia="等线"/>
          <w:color w:val="auto"/>
          <w:sz w:val="22"/>
          <w:lang w:val="en-US"/>
        </w:rPr>
        <w:t>(</w:t>
      </w:r>
      <w:r>
        <w:rPr>
          <w:rFonts w:hint="eastAsia" w:ascii="等线" w:hAnsi="等线" w:eastAsia="等线"/>
          <w:color w:val="auto"/>
          <w:sz w:val="22"/>
          <w:lang w:val="en-US" w:eastAsia="zh-CN"/>
        </w:rPr>
        <w:t xml:space="preserve"> 9 </w:t>
      </w:r>
      <w:r>
        <w:rPr>
          <w:rFonts w:hint="eastAsia" w:ascii="等线" w:hAnsi="等线" w:eastAsia="等线"/>
          <w:color w:val="auto"/>
          <w:sz w:val="22"/>
          <w:lang w:val="en-US"/>
        </w:rPr>
        <w:t>)</w:t>
      </w:r>
    </w:p>
    <w:p>
      <w:pPr>
        <w:spacing w:beforeLines="0" w:afterLines="0"/>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（十三）预算绩效情况说明................................................................</w:t>
      </w:r>
      <w:r>
        <w:rPr>
          <w:rFonts w:hint="eastAsia" w:ascii="等线" w:hAnsi="等线" w:eastAsia="等线"/>
          <w:color w:val="000000"/>
          <w:sz w:val="22"/>
          <w:highlight w:val="white"/>
          <w:lang w:val="en-US" w:eastAsia="zh-CN"/>
        </w:rPr>
        <w:t>…</w:t>
      </w:r>
      <w:r>
        <w:rPr>
          <w:rFonts w:hint="eastAsia" w:ascii="等线" w:hAnsi="等线" w:eastAsia="等线"/>
          <w:color w:val="000000"/>
          <w:sz w:val="22"/>
          <w:highlight w:val="white"/>
          <w:lang w:val="en-US"/>
        </w:rPr>
        <w:t>.................</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 xml:space="preserve">9 </w:t>
      </w:r>
      <w:r>
        <w:rPr>
          <w:rFonts w:hint="eastAsia" w:ascii="等线" w:hAnsi="等线" w:eastAsia="等线"/>
          <w:color w:val="auto"/>
          <w:sz w:val="22"/>
          <w:lang w:val="en-US"/>
        </w:rPr>
        <w:t>)</w:t>
      </w:r>
    </w:p>
    <w:p>
      <w:pPr>
        <w:spacing w:beforeLines="0" w:afterLines="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四、名词解释.................................................................................................................</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 xml:space="preserve">10 </w:t>
      </w:r>
      <w:r>
        <w:rPr>
          <w:rFonts w:hint="eastAsia" w:ascii="等线" w:hAnsi="等线" w:eastAsia="等线"/>
          <w:color w:val="auto"/>
          <w:sz w:val="22"/>
          <w:lang w:val="en-US"/>
        </w:rPr>
        <w:t>)</w:t>
      </w:r>
    </w:p>
    <w:p>
      <w:pPr>
        <w:spacing w:beforeLines="0" w:afterLines="0" w:line="324" w:lineRule="auto"/>
        <w:ind w:firstLine="600"/>
        <w:rPr>
          <w:rFonts w:hint="eastAsia" w:ascii="黑体" w:hAnsi="黑体" w:eastAsia="黑体"/>
          <w:b/>
          <w:color w:val="000000"/>
          <w:sz w:val="32"/>
          <w:highlight w:val="white"/>
          <w:lang w:val="en-US"/>
        </w:rPr>
      </w:pPr>
    </w:p>
    <w:p>
      <w:pPr>
        <w:spacing w:beforeLines="0" w:afterLines="0" w:line="324" w:lineRule="auto"/>
        <w:ind w:firstLine="600"/>
        <w:rPr>
          <w:rFonts w:hint="eastAsia" w:ascii="黑体" w:hAnsi="黑体" w:eastAsia="黑体"/>
          <w:b/>
          <w:color w:val="000000"/>
          <w:sz w:val="32"/>
          <w:highlight w:val="white"/>
          <w:lang w:val="en-US"/>
        </w:rPr>
      </w:pPr>
    </w:p>
    <w:p>
      <w:pPr>
        <w:spacing w:beforeLines="0" w:afterLines="0" w:line="324" w:lineRule="auto"/>
        <w:ind w:firstLine="600"/>
        <w:rPr>
          <w:rFonts w:hint="eastAsia" w:ascii="黑体" w:hAnsi="黑体" w:eastAsia="黑体"/>
          <w:b/>
          <w:color w:val="000000"/>
          <w:sz w:val="32"/>
          <w:highlight w:val="white"/>
          <w:lang w:val="en-US"/>
        </w:rPr>
      </w:pPr>
    </w:p>
    <w:p>
      <w:pPr>
        <w:spacing w:beforeLines="0" w:afterLines="0" w:line="324" w:lineRule="auto"/>
        <w:ind w:firstLine="600"/>
        <w:rPr>
          <w:rFonts w:hint="eastAsia" w:ascii="黑体" w:hAnsi="黑体" w:eastAsia="黑体"/>
          <w:b/>
          <w:color w:val="000000"/>
          <w:sz w:val="32"/>
          <w:highlight w:val="white"/>
          <w:lang w:val="en-US"/>
        </w:rPr>
      </w:pPr>
    </w:p>
    <w:p>
      <w:pPr>
        <w:spacing w:beforeLines="0" w:afterLines="0" w:line="324" w:lineRule="auto"/>
        <w:ind w:firstLine="600"/>
        <w:rPr>
          <w:rFonts w:hint="eastAsia" w:ascii="黑体" w:hAnsi="黑体" w:eastAsia="黑体"/>
          <w:b/>
          <w:color w:val="000000"/>
          <w:sz w:val="32"/>
          <w:highlight w:val="white"/>
          <w:lang w:val="en-US"/>
        </w:rPr>
      </w:pPr>
    </w:p>
    <w:p>
      <w:pPr>
        <w:spacing w:beforeLines="0" w:afterLines="0" w:line="324" w:lineRule="auto"/>
        <w:ind w:firstLine="600"/>
        <w:rPr>
          <w:rFonts w:hint="eastAsia" w:ascii="黑体" w:hAnsi="黑体" w:eastAsia="黑体"/>
          <w:b/>
          <w:color w:val="000000"/>
          <w:sz w:val="32"/>
          <w:highlight w:val="white"/>
          <w:lang w:val="en-US"/>
        </w:rPr>
      </w:pPr>
    </w:p>
    <w:p>
      <w:pPr>
        <w:spacing w:beforeLines="0" w:afterLines="0" w:line="324" w:lineRule="auto"/>
        <w:rPr>
          <w:rFonts w:hint="eastAsia" w:ascii="黑体" w:hAnsi="黑体" w:eastAsia="黑体"/>
          <w:b/>
          <w:color w:val="000000"/>
          <w:sz w:val="32"/>
          <w:highlight w:val="white"/>
          <w:lang w:val="en-US"/>
        </w:rPr>
      </w:pPr>
    </w:p>
    <w:p>
      <w:pPr>
        <w:spacing w:beforeLines="0" w:afterLines="0" w:line="324" w:lineRule="auto"/>
        <w:ind w:firstLine="600"/>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一、概况</w:t>
      </w:r>
    </w:p>
    <w:p>
      <w:pPr>
        <w:spacing w:beforeLines="0" w:afterLines="0"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（一）单位职责</w:t>
      </w:r>
    </w:p>
    <w:p>
      <w:pPr>
        <w:pStyle w:val="2"/>
        <w:spacing w:beforeLines="0" w:afterLines="0"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审判保障服务中心 履行审判辅助职能，承担本院的文印、庭审速录、公务用车、计算机管理与维护、大楼物业、食堂管理等辅助性、事务性、服务性后勤工作。</w:t>
      </w:r>
    </w:p>
    <w:p>
      <w:pPr>
        <w:spacing w:beforeLines="0" w:afterLines="0"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（二）机构设置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从预算单位构成看，</w:t>
      </w:r>
      <w:r>
        <w:rPr>
          <w:rFonts w:hint="eastAsia" w:ascii="仿宋" w:hAnsi="仿宋" w:eastAsia="仿宋"/>
          <w:color w:val="000000"/>
          <w:sz w:val="32"/>
          <w:highlight w:val="white"/>
        </w:rPr>
        <w:t>审判保障服务中心</w:t>
      </w:r>
      <w:r>
        <w:rPr>
          <w:rFonts w:hint="eastAsia" w:ascii="仿宋" w:hAnsi="仿宋" w:eastAsia="仿宋"/>
          <w:color w:val="000000"/>
          <w:sz w:val="32"/>
          <w:highlight w:val="white"/>
          <w:lang w:eastAsia="zh-CN"/>
        </w:rPr>
        <w:t>未设置部门</w:t>
      </w:r>
      <w:r>
        <w:rPr>
          <w:rFonts w:hint="eastAsia" w:ascii="宋体" w:hAnsi="宋体"/>
          <w:sz w:val="32"/>
          <w:highlight w:val="white"/>
          <w:lang w:val="zh-CN"/>
        </w:rPr>
        <w:t>，</w:t>
      </w:r>
      <w:r>
        <w:rPr>
          <w:rFonts w:hint="eastAsia" w:ascii="仿宋" w:hAnsi="仿宋" w:eastAsia="仿宋"/>
          <w:color w:val="000000"/>
          <w:sz w:val="32"/>
          <w:highlight w:val="white"/>
          <w:lang w:val="zh-CN"/>
        </w:rPr>
        <w:t>人员分布在法院本级各部门</w:t>
      </w:r>
      <w:r>
        <w:rPr>
          <w:rFonts w:hint="eastAsia" w:ascii="仿宋" w:hAnsi="仿宋" w:eastAsia="仿宋"/>
          <w:color w:val="000000"/>
          <w:sz w:val="32"/>
          <w:highlight w:val="white"/>
          <w:lang w:val="en-US"/>
        </w:rPr>
        <w:t>。</w:t>
      </w:r>
    </w:p>
    <w:p>
      <w:pPr>
        <w:spacing w:beforeLines="0" w:afterLines="0" w:line="324" w:lineRule="auto"/>
        <w:ind w:firstLine="600"/>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二、2021年度单位决算公开表</w:t>
      </w:r>
    </w:p>
    <w:p>
      <w:pPr>
        <w:spacing w:beforeLines="0" w:afterLines="0" w:line="324" w:lineRule="auto"/>
        <w:ind w:firstLine="594"/>
        <w:rPr>
          <w:rFonts w:hint="default" w:eastAsia="Times New Roman"/>
          <w:color w:val="000000"/>
          <w:sz w:val="32"/>
          <w:highlight w:val="white"/>
          <w:lang w:val="en-US"/>
        </w:rPr>
      </w:pPr>
      <w:r>
        <w:rPr>
          <w:rFonts w:hint="eastAsia" w:ascii="仿宋" w:hAnsi="仿宋" w:eastAsia="仿宋"/>
          <w:color w:val="000000"/>
          <w:sz w:val="32"/>
          <w:highlight w:val="white"/>
          <w:lang w:val="en-US"/>
        </w:rPr>
        <w:t>详见附表</w:t>
      </w:r>
      <w:r>
        <w:rPr>
          <w:rFonts w:hint="eastAsia" w:ascii="仿宋_GB2312" w:hAnsi="仿宋_GB2312" w:eastAsia="仿宋_GB2312"/>
          <w:color w:val="000000"/>
          <w:sz w:val="32"/>
          <w:highlight w:val="white"/>
          <w:lang w:val="en-US"/>
        </w:rPr>
        <w:t>。</w:t>
      </w:r>
    </w:p>
    <w:p>
      <w:pPr>
        <w:spacing w:beforeLines="0" w:afterLines="0" w:line="324" w:lineRule="auto"/>
        <w:ind w:firstLine="594"/>
        <w:rPr>
          <w:rFonts w:hint="default" w:eastAsia="Times New Roman"/>
          <w:b/>
          <w:color w:val="000000"/>
          <w:sz w:val="32"/>
          <w:highlight w:val="white"/>
          <w:lang w:val="en-US"/>
        </w:rPr>
      </w:pPr>
      <w:r>
        <w:rPr>
          <w:rFonts w:hint="eastAsia" w:ascii="黑体" w:hAnsi="黑体" w:eastAsia="黑体"/>
          <w:b/>
          <w:color w:val="auto"/>
          <w:sz w:val="32"/>
          <w:highlight w:val="white"/>
          <w:lang w:val="zh-CN"/>
        </w:rPr>
        <w:t>三、</w:t>
      </w:r>
      <w:r>
        <w:rPr>
          <w:rFonts w:hint="eastAsia" w:ascii="黑体" w:hAnsi="黑体" w:eastAsia="黑体"/>
          <w:b/>
          <w:color w:val="000000"/>
          <w:sz w:val="32"/>
          <w:highlight w:val="white"/>
          <w:lang w:val="en-US"/>
        </w:rPr>
        <w:t>2021年度单位决算情况说明</w:t>
      </w:r>
    </w:p>
    <w:p>
      <w:pPr>
        <w:spacing w:beforeLines="0" w:afterLines="0"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（一）收入支出决算总体情况说明</w:t>
      </w:r>
    </w:p>
    <w:p>
      <w:pPr>
        <w:spacing w:beforeLines="0" w:afterLines="0" w:line="324" w:lineRule="auto"/>
        <w:ind w:firstLine="594"/>
        <w:rPr>
          <w:rFonts w:hint="default" w:eastAsia="Times New Roman"/>
          <w:b/>
          <w:color w:val="000000"/>
          <w:sz w:val="32"/>
          <w:highlight w:val="white"/>
          <w:lang w:val="en-US"/>
        </w:rPr>
      </w:pPr>
      <w:r>
        <w:rPr>
          <w:rFonts w:hint="eastAsia" w:ascii="仿宋" w:hAnsi="仿宋" w:eastAsia="仿宋"/>
          <w:color w:val="000000"/>
          <w:sz w:val="32"/>
          <w:highlight w:val="white"/>
          <w:lang w:val="en-US"/>
        </w:rPr>
        <w:t>2021年度收入总计494.43万元，支出总计494.43万元,与2020年度相比，各减少</w:t>
      </w:r>
      <w:r>
        <w:rPr>
          <w:rFonts w:hint="eastAsia" w:ascii="仿宋" w:hAnsi="仿宋" w:eastAsia="仿宋"/>
          <w:color w:val="000000"/>
          <w:sz w:val="32"/>
          <w:highlight w:val="white"/>
          <w:lang w:val="en-US" w:eastAsia="zh-CN"/>
        </w:rPr>
        <w:t>22.02</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4.26</w:t>
      </w:r>
      <w:r>
        <w:rPr>
          <w:rFonts w:hint="eastAsia" w:ascii="仿宋" w:hAnsi="仿宋" w:eastAsia="仿宋"/>
          <w:color w:val="000000"/>
          <w:sz w:val="32"/>
          <w:highlight w:val="white"/>
          <w:lang w:val="en-US"/>
        </w:rPr>
        <w:t>%。主要原因是：</w:t>
      </w:r>
      <w:r>
        <w:rPr>
          <w:rFonts w:hint="eastAsia" w:ascii="仿宋" w:hAnsi="仿宋" w:eastAsia="仿宋"/>
          <w:color w:val="000000"/>
          <w:sz w:val="32"/>
          <w:highlight w:val="white"/>
          <w:lang w:val="en-US" w:eastAsia="zh-CN"/>
        </w:rPr>
        <w:t>人员支出减少</w:t>
      </w:r>
      <w:r>
        <w:rPr>
          <w:rFonts w:hint="eastAsia" w:ascii="仿宋" w:hAnsi="仿宋" w:eastAsia="仿宋"/>
          <w:color w:val="000000"/>
          <w:sz w:val="32"/>
          <w:highlight w:val="white"/>
          <w:lang w:val="en-US"/>
        </w:rPr>
        <w:t>。</w:t>
      </w:r>
    </w:p>
    <w:p>
      <w:pPr>
        <w:spacing w:beforeLines="0" w:afterLines="0"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（二）收入决算情况说明</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年收入合计494.43万元；包括财政拨款收入494.43万元（其中，一般公共预算494.43万元，政府性基金预算0万元,国有资本经营预算0万元），占收入合计100%；上级补助收入0万元，占收入合计0%；事业收入0万元，占收入合计0%；经营收入0万元，占收入合计0%；附属单位上缴收入0万元，占收入合计0%；其他收入0万元，占收入合计0%。</w:t>
      </w:r>
    </w:p>
    <w:p>
      <w:pPr>
        <w:spacing w:beforeLines="0" w:afterLines="0"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（三）支出决算情况说明</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本年支出合计494.43万元，其中基本支出494.43万元，占100%；项目支出0万元，占0%；上缴上级支出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万元，占0%；经营支出0万元，占0%；对附属单位补助支出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w:t>
      </w:r>
    </w:p>
    <w:p>
      <w:pPr>
        <w:spacing w:beforeLines="0" w:afterLines="0"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（四）财政拨款收入支出决算总体情况说明</w:t>
      </w:r>
    </w:p>
    <w:p>
      <w:pPr>
        <w:spacing w:beforeLines="0" w:afterLines="0" w:line="324" w:lineRule="auto"/>
        <w:ind w:firstLine="594"/>
        <w:rPr>
          <w:rFonts w:hint="eastAsia" w:ascii="仿宋" w:hAnsi="仿宋" w:eastAsia="仿宋"/>
          <w:b/>
          <w:color w:val="000000"/>
          <w:sz w:val="32"/>
          <w:highlight w:val="white"/>
          <w:lang w:val="en-US"/>
        </w:rPr>
      </w:pPr>
      <w:r>
        <w:rPr>
          <w:rFonts w:hint="eastAsia" w:ascii="仿宋" w:hAnsi="仿宋" w:eastAsia="仿宋"/>
          <w:color w:val="000000"/>
          <w:sz w:val="32"/>
          <w:highlight w:val="white"/>
          <w:lang w:val="en-US"/>
        </w:rPr>
        <w:t>2021年度财政拨款收入总计494.43万元，支出总计494.43万元，与2020年相比，各减少</w:t>
      </w:r>
      <w:r>
        <w:rPr>
          <w:rFonts w:hint="eastAsia" w:ascii="仿宋" w:hAnsi="仿宋" w:eastAsia="仿宋"/>
          <w:color w:val="000000"/>
          <w:sz w:val="32"/>
          <w:highlight w:val="white"/>
          <w:lang w:val="en-US" w:eastAsia="zh-CN"/>
        </w:rPr>
        <w:t>22.02</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4.26</w:t>
      </w:r>
      <w:r>
        <w:rPr>
          <w:rFonts w:hint="eastAsia" w:ascii="仿宋" w:hAnsi="仿宋" w:eastAsia="仿宋"/>
          <w:color w:val="000000"/>
          <w:sz w:val="32"/>
          <w:highlight w:val="white"/>
          <w:lang w:val="en-US"/>
        </w:rPr>
        <w:t>%。主要原因是</w:t>
      </w:r>
      <w:r>
        <w:rPr>
          <w:rFonts w:hint="eastAsia" w:ascii="仿宋" w:hAnsi="仿宋" w:eastAsia="仿宋"/>
          <w:color w:val="auto"/>
          <w:sz w:val="32"/>
          <w:highlight w:val="white"/>
          <w:lang w:val="en-US" w:eastAsia="zh-CN"/>
        </w:rPr>
        <w:t>人员支出减少</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财政拨款支出年初预算数</w:t>
      </w:r>
      <w:r>
        <w:rPr>
          <w:rFonts w:hint="eastAsia" w:ascii="仿宋" w:hAnsi="仿宋" w:eastAsia="仿宋"/>
          <w:color w:val="000000"/>
          <w:sz w:val="32"/>
          <w:highlight w:val="white"/>
          <w:lang w:val="en-US" w:eastAsia="zh-CN"/>
        </w:rPr>
        <w:t>528</w:t>
      </w:r>
      <w:r>
        <w:rPr>
          <w:rFonts w:hint="eastAsia" w:ascii="仿宋" w:hAnsi="仿宋" w:eastAsia="仿宋"/>
          <w:color w:val="000000"/>
          <w:sz w:val="32"/>
          <w:highlight w:val="white"/>
          <w:lang w:val="en-US"/>
        </w:rPr>
        <w:t>万元，</w:t>
      </w:r>
      <w:r>
        <w:rPr>
          <w:rFonts w:hint="eastAsia" w:ascii="仿宋" w:hAnsi="仿宋" w:eastAsia="仿宋"/>
          <w:color w:val="auto"/>
          <w:sz w:val="32"/>
          <w:highlight w:val="white"/>
          <w:lang w:val="en-US"/>
        </w:rPr>
        <w:t>完成年初预算的</w:t>
      </w:r>
      <w:r>
        <w:rPr>
          <w:rFonts w:hint="eastAsia" w:ascii="仿宋" w:hAnsi="仿宋" w:eastAsia="仿宋"/>
          <w:color w:val="000000"/>
          <w:sz w:val="32"/>
          <w:highlight w:val="white"/>
          <w:lang w:val="en-US" w:eastAsia="zh-CN"/>
        </w:rPr>
        <w:t>93.64%，</w:t>
      </w:r>
      <w:r>
        <w:rPr>
          <w:rFonts w:hint="eastAsia" w:ascii="仿宋" w:hAnsi="仿宋" w:eastAsia="仿宋"/>
          <w:color w:val="000000"/>
          <w:sz w:val="32"/>
          <w:highlight w:val="white"/>
        </w:rPr>
        <w:t>主要原因为</w:t>
      </w:r>
      <w:r>
        <w:rPr>
          <w:rFonts w:hint="eastAsia" w:ascii="仿宋" w:hAnsi="仿宋" w:eastAsia="仿宋"/>
          <w:color w:val="000000"/>
          <w:sz w:val="32"/>
          <w:highlight w:val="white"/>
          <w:lang w:eastAsia="zh-CN"/>
        </w:rPr>
        <w:t>人员类支出减少</w:t>
      </w:r>
      <w:r>
        <w:rPr>
          <w:rFonts w:hint="eastAsia" w:ascii="仿宋" w:hAnsi="仿宋" w:eastAsia="仿宋"/>
          <w:color w:val="auto"/>
          <w:sz w:val="32"/>
          <w:highlight w:val="white"/>
          <w:lang w:val="en-US"/>
        </w:rPr>
        <w:t>。</w:t>
      </w:r>
    </w:p>
    <w:p>
      <w:pPr>
        <w:spacing w:beforeLines="0" w:afterLines="0"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（五）一般公共预算财政拨款支出决算情况说明</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1.一般公共预算财政拨款支出决算总体情况。</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2021年度一般公共预算财政拨款支出494.43万元，占本年支出合计的100%。与2020年相比，一般公共预算财政拨款支出减少</w:t>
      </w:r>
      <w:r>
        <w:rPr>
          <w:rFonts w:hint="eastAsia" w:ascii="仿宋" w:hAnsi="仿宋" w:eastAsia="仿宋"/>
          <w:color w:val="000000"/>
          <w:sz w:val="32"/>
          <w:highlight w:val="white"/>
          <w:lang w:val="en-US" w:eastAsia="zh-CN"/>
        </w:rPr>
        <w:t>22.02</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4.26</w:t>
      </w:r>
      <w:r>
        <w:rPr>
          <w:rFonts w:hint="eastAsia" w:ascii="仿宋" w:hAnsi="仿宋" w:eastAsia="仿宋"/>
          <w:color w:val="000000"/>
          <w:sz w:val="32"/>
          <w:highlight w:val="white"/>
          <w:lang w:val="en-US"/>
        </w:rPr>
        <w:t>%。主要原因是</w:t>
      </w:r>
      <w:r>
        <w:rPr>
          <w:rFonts w:hint="eastAsia" w:ascii="仿宋" w:hAnsi="仿宋" w:eastAsia="仿宋"/>
          <w:color w:val="auto"/>
          <w:sz w:val="32"/>
          <w:highlight w:val="white"/>
          <w:lang w:val="en-US" w:eastAsia="zh-CN"/>
        </w:rPr>
        <w:t>人员支出减少</w:t>
      </w:r>
      <w:r>
        <w:rPr>
          <w:rFonts w:hint="eastAsia" w:ascii="仿宋" w:hAnsi="仿宋" w:eastAsia="仿宋"/>
          <w:color w:val="000000"/>
          <w:sz w:val="32"/>
          <w:highlight w:val="white"/>
          <w:lang w:val="en-US"/>
        </w:rPr>
        <w:t>。</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2.一般公共预算财政拨款支出决算结构情况。</w:t>
      </w:r>
    </w:p>
    <w:p>
      <w:pPr>
        <w:spacing w:beforeLines="0" w:afterLines="0" w:line="324" w:lineRule="auto"/>
        <w:ind w:firstLine="606"/>
        <w:rPr>
          <w:rFonts w:hint="eastAsia" w:ascii="仿宋" w:hAnsi="仿宋" w:eastAsia="仿宋"/>
          <w:b/>
          <w:color w:val="000000"/>
          <w:sz w:val="32"/>
          <w:highlight w:val="white"/>
          <w:lang w:val="en-US"/>
        </w:rPr>
      </w:pPr>
      <w:r>
        <w:rPr>
          <w:rFonts w:hint="eastAsia" w:ascii="仿宋" w:hAnsi="仿宋" w:eastAsia="仿宋"/>
          <w:color w:val="000000"/>
          <w:sz w:val="32"/>
          <w:highlight w:val="white"/>
          <w:lang w:val="en-US"/>
        </w:rPr>
        <w:t>2021年度一般公共预算财政拨款支出494.43万元，主要用于以下方面：一般公共服务（类）支出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万元，占0%；国防（类）支出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万元,占0%；公共安全（类）支出</w:t>
      </w:r>
      <w:r>
        <w:rPr>
          <w:rFonts w:hint="eastAsia" w:ascii="仿宋" w:hAnsi="仿宋" w:eastAsia="仿宋"/>
          <w:color w:val="auto"/>
          <w:sz w:val="32"/>
          <w:highlight w:val="white"/>
          <w:lang w:val="zh-CN"/>
        </w:rPr>
        <w:t>376.19</w:t>
      </w:r>
      <w:r>
        <w:rPr>
          <w:rFonts w:hint="eastAsia" w:ascii="仿宋" w:hAnsi="仿宋" w:eastAsia="仿宋"/>
          <w:color w:val="000000"/>
          <w:sz w:val="32"/>
          <w:highlight w:val="white"/>
          <w:lang w:val="en-US"/>
        </w:rPr>
        <w:t>万元,占76.08%；教育（类）支出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万元,占0%；科学技术（类）支出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万元,占0%；文化旅游体育与传媒（类）支出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万元,占0%；社会保障和就业（类）支出</w:t>
      </w:r>
      <w:r>
        <w:rPr>
          <w:rFonts w:hint="eastAsia" w:ascii="仿宋" w:hAnsi="仿宋" w:eastAsia="仿宋"/>
          <w:color w:val="auto"/>
          <w:sz w:val="32"/>
          <w:highlight w:val="white"/>
          <w:lang w:val="zh-CN"/>
        </w:rPr>
        <w:t>38.71</w:t>
      </w:r>
      <w:r>
        <w:rPr>
          <w:rFonts w:hint="eastAsia" w:ascii="仿宋" w:hAnsi="仿宋" w:eastAsia="仿宋"/>
          <w:color w:val="000000"/>
          <w:sz w:val="32"/>
          <w:highlight w:val="white"/>
          <w:lang w:val="en-US"/>
        </w:rPr>
        <w:t>万元,占7.83%；卫生健康（类）支出</w:t>
      </w:r>
      <w:r>
        <w:rPr>
          <w:rFonts w:hint="eastAsia" w:ascii="仿宋" w:hAnsi="仿宋" w:eastAsia="仿宋"/>
          <w:color w:val="auto"/>
          <w:sz w:val="32"/>
          <w:highlight w:val="white"/>
          <w:lang w:val="zh-CN"/>
        </w:rPr>
        <w:t>24.76</w:t>
      </w:r>
      <w:r>
        <w:rPr>
          <w:rFonts w:hint="eastAsia" w:ascii="仿宋" w:hAnsi="仿宋" w:eastAsia="仿宋"/>
          <w:color w:val="000000"/>
          <w:sz w:val="32"/>
          <w:highlight w:val="white"/>
          <w:lang w:val="en-US"/>
        </w:rPr>
        <w:t>万元,占5.01%；节能环保（类）支出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万元,占0%；城乡社区（类）支出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万元,占0%；农林水（类）支出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万元,占0%；交通运输（类）支出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万元,占0%；资源勘探工业信息等（类）支出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万元,占0%；商业服务业等（类）支出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万元,占0%；金融（类）支出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万元,占0%；援助其他地区（类）支出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万元,占0%；自然资源海洋气象等（类）支出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万元,占0%；住房保障（类）支出</w:t>
      </w:r>
      <w:r>
        <w:rPr>
          <w:rFonts w:hint="eastAsia" w:ascii="仿宋" w:hAnsi="仿宋" w:eastAsia="仿宋"/>
          <w:color w:val="auto"/>
          <w:sz w:val="32"/>
          <w:highlight w:val="white"/>
          <w:lang w:val="zh-CN"/>
        </w:rPr>
        <w:t>54.77</w:t>
      </w:r>
      <w:r>
        <w:rPr>
          <w:rFonts w:hint="eastAsia" w:ascii="仿宋" w:hAnsi="仿宋" w:eastAsia="仿宋"/>
          <w:color w:val="000000"/>
          <w:sz w:val="32"/>
          <w:highlight w:val="white"/>
          <w:lang w:val="en-US"/>
        </w:rPr>
        <w:t>万元,占11.08%；粮油物资储备（类）支出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万元,占0%；灾害防治及应急管理（类）支出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万元,占0%；其他（类）支出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万元,占0%；债务还本（类）支出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万元,占0%；债务付息（类）支出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3.一般公共预算财政拨款支出决算具体情况。</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auto"/>
          <w:sz w:val="32"/>
          <w:highlight w:val="white"/>
          <w:lang w:val="en-US"/>
        </w:rPr>
        <w:t>2021年度</w:t>
      </w:r>
      <w:r>
        <w:rPr>
          <w:rFonts w:hint="eastAsia" w:ascii="仿宋" w:hAnsi="仿宋" w:eastAsia="仿宋"/>
          <w:color w:val="000000"/>
          <w:sz w:val="32"/>
          <w:highlight w:val="white"/>
          <w:lang w:val="en-US"/>
        </w:rPr>
        <w:t>一般公共预算</w:t>
      </w:r>
      <w:r>
        <w:rPr>
          <w:rFonts w:hint="eastAsia" w:ascii="仿宋" w:hAnsi="仿宋" w:eastAsia="仿宋"/>
          <w:color w:val="auto"/>
          <w:sz w:val="32"/>
          <w:highlight w:val="white"/>
          <w:lang w:val="en-US"/>
        </w:rPr>
        <w:t>财政拨款支出年初预算为</w:t>
      </w:r>
      <w:r>
        <w:rPr>
          <w:rFonts w:hint="eastAsia" w:ascii="仿宋" w:hAnsi="仿宋" w:eastAsia="仿宋"/>
          <w:color w:val="000000"/>
          <w:sz w:val="32"/>
          <w:highlight w:val="white"/>
          <w:lang w:val="en-US" w:eastAsia="zh-CN"/>
        </w:rPr>
        <w:t>528</w:t>
      </w:r>
      <w:r>
        <w:rPr>
          <w:rFonts w:hint="eastAsia" w:ascii="仿宋" w:hAnsi="仿宋" w:eastAsia="仿宋"/>
          <w:color w:val="auto"/>
          <w:sz w:val="32"/>
          <w:highlight w:val="white"/>
          <w:lang w:val="en-US"/>
        </w:rPr>
        <w:t>万元，支出决算为</w:t>
      </w:r>
      <w:r>
        <w:rPr>
          <w:rFonts w:hint="eastAsia" w:ascii="仿宋" w:hAnsi="仿宋" w:eastAsia="仿宋"/>
          <w:color w:val="000000"/>
          <w:sz w:val="32"/>
          <w:highlight w:val="white"/>
          <w:lang w:val="en-US"/>
        </w:rPr>
        <w:t>494.43万元</w:t>
      </w:r>
      <w:r>
        <w:rPr>
          <w:rFonts w:hint="eastAsia" w:ascii="仿宋" w:hAnsi="仿宋" w:eastAsia="仿宋"/>
          <w:color w:val="auto"/>
          <w:sz w:val="32"/>
          <w:highlight w:val="white"/>
          <w:lang w:val="en-US"/>
        </w:rPr>
        <w:t>,完成年初预算的</w:t>
      </w:r>
      <w:r>
        <w:rPr>
          <w:rFonts w:hint="eastAsia" w:ascii="仿宋" w:hAnsi="仿宋" w:eastAsia="仿宋"/>
          <w:color w:val="000000"/>
          <w:sz w:val="32"/>
          <w:highlight w:val="white"/>
          <w:lang w:val="en-US" w:eastAsia="zh-CN"/>
        </w:rPr>
        <w:t>93.64</w:t>
      </w:r>
      <w:r>
        <w:rPr>
          <w:rFonts w:hint="eastAsia" w:ascii="仿宋" w:hAnsi="仿宋" w:eastAsia="仿宋"/>
          <w:color w:val="000000"/>
          <w:sz w:val="32"/>
          <w:highlight w:val="white"/>
          <w:lang w:val="en-US"/>
        </w:rPr>
        <w:t>%</w:t>
      </w:r>
      <w:r>
        <w:rPr>
          <w:rFonts w:hint="eastAsia" w:ascii="仿宋" w:hAnsi="仿宋" w:eastAsia="仿宋"/>
          <w:color w:val="auto"/>
          <w:sz w:val="32"/>
          <w:highlight w:val="white"/>
          <w:lang w:val="en-US"/>
        </w:rPr>
        <w:t>。</w:t>
      </w:r>
      <w:r>
        <w:rPr>
          <w:rFonts w:hint="eastAsia" w:ascii="仿宋" w:hAnsi="仿宋" w:eastAsia="仿宋"/>
          <w:color w:val="auto"/>
          <w:sz w:val="32"/>
          <w:highlight w:val="white"/>
          <w:lang w:val="en-US" w:eastAsia="zh-CN"/>
        </w:rPr>
        <w:t>主要原因为：人员类支出减少。</w:t>
      </w:r>
      <w:r>
        <w:rPr>
          <w:rFonts w:hint="eastAsia" w:ascii="仿宋" w:hAnsi="仿宋" w:eastAsia="仿宋"/>
          <w:color w:val="000000"/>
          <w:sz w:val="32"/>
          <w:highlight w:val="white"/>
          <w:lang w:val="en-US"/>
        </w:rPr>
        <w:t>其中：</w:t>
      </w:r>
    </w:p>
    <w:p>
      <w:pPr>
        <w:numPr>
          <w:ilvl w:val="0"/>
          <w:numId w:val="1"/>
        </w:numPr>
        <w:spacing w:beforeLines="0" w:afterLines="0" w:line="324" w:lineRule="auto"/>
        <w:ind w:firstLine="594"/>
        <w:rPr>
          <w:rFonts w:hint="eastAsia" w:ascii="仿宋" w:hAnsi="仿宋" w:eastAsia="仿宋"/>
          <w:color w:val="auto"/>
          <w:sz w:val="32"/>
          <w:highlight w:val="white"/>
        </w:rPr>
      </w:pPr>
      <w:r>
        <w:rPr>
          <w:rFonts w:hint="eastAsia" w:ascii="仿宋" w:hAnsi="仿宋" w:eastAsia="仿宋"/>
          <w:color w:val="auto"/>
          <w:sz w:val="32"/>
          <w:highlight w:val="white"/>
        </w:rPr>
        <w:t>公共安全支出（类）法院（款）事业运行（项）。年初预算为</w:t>
      </w:r>
      <w:r>
        <w:rPr>
          <w:rFonts w:hint="eastAsia" w:ascii="仿宋" w:hAnsi="仿宋" w:eastAsia="仿宋"/>
          <w:color w:val="auto"/>
          <w:sz w:val="32"/>
          <w:highlight w:val="white"/>
          <w:lang w:val="en-US" w:eastAsia="zh-CN"/>
        </w:rPr>
        <w:t>412</w:t>
      </w:r>
      <w:r>
        <w:rPr>
          <w:rFonts w:hint="eastAsia" w:ascii="仿宋" w:hAnsi="仿宋" w:eastAsia="仿宋"/>
          <w:color w:val="auto"/>
          <w:sz w:val="32"/>
          <w:highlight w:val="white"/>
        </w:rPr>
        <w:t>万元，支出决算为376.19万元，完成年初预算的</w:t>
      </w:r>
      <w:r>
        <w:rPr>
          <w:rFonts w:hint="eastAsia" w:ascii="仿宋" w:hAnsi="仿宋" w:eastAsia="仿宋"/>
          <w:color w:val="auto"/>
          <w:sz w:val="32"/>
          <w:highlight w:val="white"/>
          <w:lang w:val="en-US" w:eastAsia="zh-CN"/>
        </w:rPr>
        <w:t>91.31</w:t>
      </w:r>
      <w:r>
        <w:rPr>
          <w:rFonts w:hint="eastAsia" w:ascii="仿宋" w:hAnsi="仿宋" w:eastAsia="仿宋"/>
          <w:color w:val="auto"/>
          <w:sz w:val="32"/>
          <w:highlight w:val="white"/>
        </w:rPr>
        <w:t>%</w:t>
      </w:r>
      <w:r>
        <w:rPr>
          <w:rFonts w:hint="eastAsia" w:ascii="仿宋" w:hAnsi="仿宋" w:eastAsia="仿宋"/>
          <w:color w:val="auto"/>
          <w:sz w:val="32"/>
          <w:highlight w:val="white"/>
          <w:lang w:eastAsia="zh-CN"/>
        </w:rPr>
        <w:t>，</w:t>
      </w:r>
      <w:r>
        <w:rPr>
          <w:rFonts w:hint="eastAsia" w:ascii="仿宋" w:hAnsi="仿宋" w:eastAsia="仿宋"/>
          <w:color w:val="auto"/>
          <w:sz w:val="32"/>
          <w:highlight w:val="white"/>
        </w:rPr>
        <w:t>支出决算数小于年初预算数，</w:t>
      </w:r>
      <w:r>
        <w:rPr>
          <w:rFonts w:hint="eastAsia" w:ascii="仿宋" w:hAnsi="仿宋" w:eastAsia="仿宋"/>
          <w:color w:val="auto"/>
          <w:sz w:val="32"/>
          <w:highlight w:val="white"/>
          <w:lang w:val="en-US" w:eastAsia="zh-CN"/>
        </w:rPr>
        <w:t>主要原因为人员类支出减少</w:t>
      </w:r>
      <w:r>
        <w:rPr>
          <w:rFonts w:hint="eastAsia" w:ascii="仿宋" w:hAnsi="仿宋" w:eastAsia="仿宋"/>
          <w:color w:val="auto"/>
          <w:sz w:val="32"/>
          <w:highlight w:val="white"/>
        </w:rPr>
        <w:t>。</w:t>
      </w:r>
    </w:p>
    <w:p>
      <w:pPr>
        <w:pStyle w:val="2"/>
        <w:numPr>
          <w:ilvl w:val="0"/>
          <w:numId w:val="1"/>
        </w:numPr>
        <w:spacing w:beforeLines="0" w:afterLines="0" w:line="324" w:lineRule="auto"/>
        <w:ind w:firstLine="594"/>
        <w:rPr>
          <w:rFonts w:hint="eastAsia" w:ascii="仿宋" w:hAnsi="仿宋" w:eastAsia="仿宋"/>
          <w:color w:val="auto"/>
          <w:kern w:val="2"/>
          <w:sz w:val="32"/>
          <w:highlight w:val="white"/>
        </w:rPr>
      </w:pPr>
      <w:r>
        <w:rPr>
          <w:rFonts w:hint="eastAsia" w:ascii="仿宋" w:hAnsi="仿宋" w:eastAsia="仿宋"/>
          <w:color w:val="auto"/>
          <w:kern w:val="2"/>
          <w:sz w:val="32"/>
          <w:highlight w:val="white"/>
        </w:rPr>
        <w:t>社会保障和就业支出（类）行政事业部门离退休（款）机关事业部门基本养老保险缴费支出（项）。年初预算为25万元，支出决算为24.53万元，完成年初预算的98.12%，支出决算数小于年初预算数，</w:t>
      </w:r>
      <w:r>
        <w:rPr>
          <w:rFonts w:hint="eastAsia" w:ascii="仿宋" w:hAnsi="仿宋" w:eastAsia="仿宋"/>
          <w:color w:val="auto"/>
          <w:sz w:val="32"/>
          <w:highlight w:val="white"/>
        </w:rPr>
        <w:t>主要原因为社保基数调整</w:t>
      </w:r>
      <w:r>
        <w:rPr>
          <w:rFonts w:hint="eastAsia" w:ascii="仿宋" w:hAnsi="仿宋" w:eastAsia="仿宋"/>
          <w:color w:val="auto"/>
          <w:kern w:val="2"/>
          <w:sz w:val="32"/>
          <w:highlight w:val="white"/>
        </w:rPr>
        <w:t>。</w:t>
      </w:r>
    </w:p>
    <w:p>
      <w:pPr>
        <w:numPr>
          <w:ilvl w:val="0"/>
          <w:numId w:val="1"/>
        </w:numPr>
        <w:spacing w:beforeLines="0" w:afterLines="0" w:line="324" w:lineRule="auto"/>
        <w:ind w:firstLine="594"/>
        <w:rPr>
          <w:rFonts w:hint="eastAsia" w:ascii="仿宋" w:hAnsi="仿宋" w:eastAsia="仿宋"/>
          <w:color w:val="auto"/>
          <w:sz w:val="32"/>
          <w:highlight w:val="white"/>
        </w:rPr>
      </w:pPr>
      <w:r>
        <w:rPr>
          <w:rFonts w:hint="eastAsia" w:ascii="仿宋" w:hAnsi="仿宋" w:eastAsia="仿宋"/>
          <w:color w:val="auto"/>
          <w:sz w:val="32"/>
          <w:highlight w:val="white"/>
        </w:rPr>
        <w:t>社会保障和就业支出（类）行政事业部门离退休（款）机关事业部门职业年金缴费支出（项）。年初预算为</w:t>
      </w:r>
      <w:r>
        <w:rPr>
          <w:rFonts w:hint="eastAsia" w:ascii="仿宋" w:hAnsi="仿宋" w:eastAsia="仿宋"/>
          <w:color w:val="auto"/>
          <w:sz w:val="32"/>
          <w:highlight w:val="white"/>
          <w:lang w:val="en-US" w:eastAsia="zh-CN"/>
        </w:rPr>
        <w:t>12</w:t>
      </w:r>
      <w:r>
        <w:rPr>
          <w:rFonts w:hint="eastAsia" w:ascii="仿宋" w:hAnsi="仿宋" w:eastAsia="仿宋"/>
          <w:color w:val="auto"/>
          <w:sz w:val="32"/>
          <w:highlight w:val="white"/>
        </w:rPr>
        <w:t>万元，支出决算为</w:t>
      </w:r>
      <w:r>
        <w:rPr>
          <w:rFonts w:hint="eastAsia" w:ascii="仿宋" w:hAnsi="仿宋" w:eastAsia="仿宋"/>
          <w:color w:val="auto"/>
          <w:sz w:val="32"/>
          <w:highlight w:val="white"/>
          <w:lang w:val="en-US" w:eastAsia="zh-CN"/>
        </w:rPr>
        <w:t>12.26</w:t>
      </w:r>
      <w:r>
        <w:rPr>
          <w:rFonts w:hint="eastAsia" w:ascii="仿宋" w:hAnsi="仿宋" w:eastAsia="仿宋"/>
          <w:color w:val="auto"/>
          <w:sz w:val="32"/>
          <w:highlight w:val="white"/>
        </w:rPr>
        <w:t>万元，完成年初预算的</w:t>
      </w:r>
      <w:r>
        <w:rPr>
          <w:rFonts w:hint="eastAsia" w:ascii="仿宋" w:hAnsi="仿宋" w:eastAsia="仿宋"/>
          <w:color w:val="auto"/>
          <w:sz w:val="32"/>
          <w:highlight w:val="white"/>
          <w:lang w:val="en-US" w:eastAsia="zh-CN"/>
        </w:rPr>
        <w:t>102.17</w:t>
      </w:r>
      <w:r>
        <w:rPr>
          <w:rFonts w:hint="eastAsia" w:ascii="仿宋" w:hAnsi="仿宋" w:eastAsia="仿宋"/>
          <w:color w:val="auto"/>
          <w:sz w:val="32"/>
          <w:highlight w:val="white"/>
        </w:rPr>
        <w:t>%</w:t>
      </w:r>
      <w:r>
        <w:rPr>
          <w:rFonts w:hint="eastAsia" w:ascii="仿宋" w:hAnsi="仿宋" w:eastAsia="仿宋"/>
          <w:color w:val="auto"/>
          <w:sz w:val="32"/>
          <w:highlight w:val="white"/>
          <w:lang w:eastAsia="zh-CN"/>
        </w:rPr>
        <w:t>，</w:t>
      </w:r>
      <w:r>
        <w:rPr>
          <w:rFonts w:hint="eastAsia" w:ascii="仿宋" w:hAnsi="仿宋" w:eastAsia="仿宋"/>
          <w:color w:val="auto"/>
          <w:sz w:val="32"/>
          <w:highlight w:val="white"/>
        </w:rPr>
        <w:t>支出决算数</w:t>
      </w:r>
      <w:r>
        <w:rPr>
          <w:rFonts w:hint="eastAsia" w:ascii="仿宋" w:hAnsi="仿宋" w:eastAsia="仿宋"/>
          <w:color w:val="auto"/>
          <w:sz w:val="32"/>
          <w:highlight w:val="white"/>
          <w:lang w:eastAsia="zh-CN"/>
        </w:rPr>
        <w:t>大于</w:t>
      </w:r>
      <w:r>
        <w:rPr>
          <w:rFonts w:hint="eastAsia" w:ascii="仿宋" w:hAnsi="仿宋" w:eastAsia="仿宋"/>
          <w:color w:val="auto"/>
          <w:sz w:val="32"/>
          <w:highlight w:val="white"/>
        </w:rPr>
        <w:t>年初预算数，</w:t>
      </w:r>
      <w:r>
        <w:rPr>
          <w:rFonts w:hint="eastAsia" w:ascii="仿宋" w:hAnsi="仿宋" w:eastAsia="仿宋"/>
          <w:color w:val="auto"/>
          <w:sz w:val="32"/>
          <w:highlight w:val="white"/>
          <w:lang w:val="en-US" w:eastAsia="zh-CN"/>
        </w:rPr>
        <w:t>主要原因为社保基数调整</w:t>
      </w:r>
      <w:r>
        <w:rPr>
          <w:rFonts w:hint="eastAsia" w:ascii="仿宋" w:hAnsi="仿宋" w:eastAsia="仿宋"/>
          <w:color w:val="auto"/>
          <w:sz w:val="32"/>
          <w:highlight w:val="white"/>
        </w:rPr>
        <w:t>。</w:t>
      </w:r>
    </w:p>
    <w:p>
      <w:pPr>
        <w:pStyle w:val="2"/>
        <w:spacing w:beforeLines="0" w:afterLines="0"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4）社会保障和就业支出（类）行政事业部门离退休（款）其他行政事业单位养老支出（项）。年初预算为0万元，支出决算为1.92万元，完成年初预算的200%，支出决算数大于年初预算数，主要原因为退休人员增加。</w:t>
      </w:r>
    </w:p>
    <w:p>
      <w:pPr>
        <w:pStyle w:val="2"/>
        <w:spacing w:beforeLines="0" w:afterLines="0"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（5）卫生健康支出（类）行政事业部门医疗（款）事业单位医疗（项）。年初预算为25万元，支出决算为24.76万元，完成年初预算的99.04%，支出决算数小于年初预算数，</w:t>
      </w:r>
      <w:r>
        <w:rPr>
          <w:rFonts w:hint="eastAsia" w:ascii="仿宋" w:hAnsi="仿宋" w:eastAsia="仿宋"/>
          <w:color w:val="auto"/>
          <w:sz w:val="32"/>
          <w:highlight w:val="white"/>
        </w:rPr>
        <w:t>主要原因为社保基数调整</w:t>
      </w:r>
      <w:r>
        <w:rPr>
          <w:rFonts w:hint="eastAsia" w:ascii="仿宋" w:hAnsi="仿宋" w:eastAsia="仿宋"/>
          <w:color w:val="auto"/>
          <w:kern w:val="2"/>
          <w:sz w:val="32"/>
          <w:highlight w:val="white"/>
        </w:rPr>
        <w:t>。</w:t>
      </w:r>
    </w:p>
    <w:p>
      <w:pPr>
        <w:pStyle w:val="2"/>
        <w:spacing w:beforeLines="0" w:afterLines="0"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（6）住房保障支出（类）住房改革支出（款）住房公积金（项）。年初预算为52万元，支出决算为54.77万元，完成年初预算的105.33%，支出决算数大于年初预算数，主要原因为公积金基数调整。</w:t>
      </w:r>
    </w:p>
    <w:p>
      <w:pPr>
        <w:spacing w:beforeLines="0" w:afterLines="0" w:line="324" w:lineRule="auto"/>
        <w:ind w:firstLine="594"/>
        <w:rPr>
          <w:rFonts w:hint="default" w:eastAsia="Times New Roman"/>
          <w:color w:val="000000"/>
          <w:sz w:val="32"/>
          <w:highlight w:val="white"/>
          <w:lang w:val="en-US"/>
        </w:rPr>
      </w:pPr>
      <w:r>
        <w:rPr>
          <w:rFonts w:hint="eastAsia" w:ascii="楷体" w:hAnsi="楷体" w:eastAsia="楷体"/>
          <w:b/>
          <w:color w:val="000000"/>
          <w:sz w:val="32"/>
          <w:highlight w:val="white"/>
          <w:lang w:val="en-US"/>
        </w:rPr>
        <w:t>（六）一般公共预算财政拨款基本支出决算情况说明</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2021年度一般公共预算财政拨款基本支出494.43万元，其中：</w:t>
      </w:r>
    </w:p>
    <w:p>
      <w:pPr>
        <w:pStyle w:val="2"/>
        <w:spacing w:beforeLines="0" w:afterLines="0" w:line="324" w:lineRule="auto"/>
        <w:ind w:firstLine="600"/>
        <w:rPr>
          <w:rFonts w:hint="eastAsia" w:ascii="仿宋" w:hAnsi="仿宋" w:eastAsia="仿宋"/>
          <w:color w:val="000000"/>
          <w:sz w:val="32"/>
          <w:highlight w:val="white"/>
        </w:rPr>
      </w:pPr>
      <w:r>
        <w:rPr>
          <w:rFonts w:hint="eastAsia" w:ascii="仿宋" w:hAnsi="仿宋" w:eastAsia="仿宋"/>
          <w:color w:val="000000"/>
          <w:sz w:val="32"/>
          <w:highlight w:val="white"/>
        </w:rPr>
        <w:t>人员经费459.47万元，主要包括：基本工资、津贴补贴、奖金、绩效工资、机关事业单位基本养老保险缴费、职业年金缴费、职工基本医疗保险缴费、公务员医疗补助缴费、其他社会保障缴费、住房公积金、医疗费、其他工资福利支出、生活补助。</w:t>
      </w:r>
    </w:p>
    <w:p>
      <w:pPr>
        <w:autoSpaceDE w:val="0"/>
        <w:autoSpaceDN w:val="0"/>
        <w:adjustRightInd w:val="0"/>
        <w:spacing w:beforeLines="0" w:afterLines="0" w:line="324" w:lineRule="auto"/>
        <w:ind w:firstLine="594"/>
        <w:rPr>
          <w:rFonts w:hint="default" w:eastAsia="Times New Roman"/>
          <w:color w:val="000000"/>
          <w:sz w:val="32"/>
          <w:highlight w:val="white"/>
          <w:lang w:val="en-US"/>
        </w:rPr>
      </w:pPr>
      <w:r>
        <w:rPr>
          <w:rFonts w:hint="eastAsia" w:ascii="仿宋" w:hAnsi="仿宋" w:eastAsia="仿宋"/>
          <w:color w:val="000000"/>
          <w:sz w:val="32"/>
          <w:highlight w:val="white"/>
          <w:lang w:val="en-US"/>
        </w:rPr>
        <w:t>公用经费34.96万元，主要包括：</w:t>
      </w:r>
      <w:r>
        <w:rPr>
          <w:rFonts w:hint="eastAsia" w:ascii="仿宋" w:hAnsi="仿宋" w:eastAsia="仿宋"/>
          <w:color w:val="000000"/>
          <w:kern w:val="0"/>
          <w:sz w:val="32"/>
          <w:highlight w:val="white"/>
          <w:lang w:val="en-US" w:eastAsia="zh-CN"/>
        </w:rPr>
        <w:t>办公费、差旅费、委托业务费、工会经费、福利费、公务用车运行维护费、其他商品服务支出</w:t>
      </w:r>
      <w:r>
        <w:rPr>
          <w:rFonts w:hint="eastAsia" w:ascii="仿宋" w:hAnsi="仿宋" w:eastAsia="仿宋"/>
          <w:color w:val="000000"/>
          <w:sz w:val="32"/>
          <w:highlight w:val="white"/>
          <w:lang w:val="en-US"/>
        </w:rPr>
        <w:t>。</w:t>
      </w:r>
    </w:p>
    <w:p>
      <w:pPr>
        <w:numPr>
          <w:ilvl w:val="0"/>
          <w:numId w:val="2"/>
        </w:numPr>
        <w:spacing w:beforeLines="0" w:afterLines="0" w:line="324" w:lineRule="auto"/>
        <w:ind w:firstLine="643" w:firstLineChars="200"/>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政府性基金预算财政拨款支出</w:t>
      </w:r>
      <w:r>
        <w:rPr>
          <w:rFonts w:hint="eastAsia" w:ascii="楷体" w:hAnsi="楷体" w:eastAsia="楷体"/>
          <w:b/>
          <w:color w:val="000000"/>
          <w:sz w:val="32"/>
          <w:highlight w:val="white"/>
          <w:lang w:val="zh-CN"/>
        </w:rPr>
        <w:t>决算</w:t>
      </w:r>
      <w:r>
        <w:rPr>
          <w:rFonts w:hint="eastAsia" w:ascii="楷体" w:hAnsi="楷体" w:eastAsia="楷体"/>
          <w:b/>
          <w:color w:val="000000"/>
          <w:sz w:val="32"/>
          <w:highlight w:val="white"/>
          <w:lang w:val="en-US"/>
        </w:rPr>
        <w:t>总体情况说明</w:t>
      </w:r>
    </w:p>
    <w:p>
      <w:pPr>
        <w:numPr>
          <w:ilvl w:val="0"/>
          <w:numId w:val="0"/>
        </w:numPr>
        <w:spacing w:beforeLines="0" w:afterLines="0" w:line="324" w:lineRule="auto"/>
        <w:ind w:firstLine="640" w:firstLineChars="200"/>
        <w:rPr>
          <w:rFonts w:hint="eastAsia" w:ascii="仿宋" w:hAnsi="仿宋" w:eastAsia="仿宋"/>
          <w:b/>
          <w:color w:val="000000"/>
          <w:sz w:val="32"/>
          <w:highlight w:val="white"/>
          <w:lang w:val="en-US" w:eastAsia="zh-CN"/>
        </w:rPr>
      </w:pPr>
      <w:r>
        <w:rPr>
          <w:rFonts w:hint="eastAsia" w:ascii="仿宋" w:hAnsi="仿宋" w:eastAsia="仿宋"/>
          <w:color w:val="000000"/>
          <w:sz w:val="32"/>
          <w:highlight w:val="white"/>
          <w:lang w:val="en-US"/>
        </w:rPr>
        <w:t>本单位2021年度无政府性基金预算财政拨款收支安排，故无相关数据</w:t>
      </w:r>
      <w:r>
        <w:rPr>
          <w:rFonts w:hint="eastAsia" w:ascii="仿宋" w:hAnsi="仿宋" w:eastAsia="仿宋"/>
          <w:color w:val="000000"/>
          <w:sz w:val="32"/>
          <w:highlight w:val="white"/>
          <w:lang w:val="en-US" w:eastAsia="zh-CN"/>
        </w:rPr>
        <w:t>。</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1.政府性基金预算财政拨款支出决算总体情况。</w:t>
      </w:r>
    </w:p>
    <w:p>
      <w:pPr>
        <w:numPr>
          <w:ilvl w:val="0"/>
          <w:numId w:val="0"/>
        </w:numPr>
        <w:spacing w:beforeLines="0" w:afterLines="0" w:line="324" w:lineRule="auto"/>
        <w:ind w:firstLine="640" w:firstLineChars="200"/>
        <w:rPr>
          <w:rFonts w:hint="eastAsia" w:ascii="仿宋_GB2312" w:hAnsi="仿宋_GB2312" w:eastAsia="仿宋_GB2312"/>
          <w:b/>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年度无政府性基金预算财政拨款收支安排，故无相关数据。</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2.政府性基金预算财政拨款支出决算结构情况。</w:t>
      </w:r>
    </w:p>
    <w:p>
      <w:pPr>
        <w:numPr>
          <w:ilvl w:val="0"/>
          <w:numId w:val="0"/>
        </w:numPr>
        <w:spacing w:beforeLines="0" w:afterLines="0"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年度无政府性基金预算财政拨款收支安排，故无相关数据。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3.政府性基金预算财政拨款支出决算具体情况。</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年度无政府性基金预算财政拨款收支安排，故无相关数据。</w:t>
      </w:r>
    </w:p>
    <w:p>
      <w:pPr>
        <w:numPr>
          <w:ilvl w:val="0"/>
          <w:numId w:val="2"/>
        </w:numPr>
        <w:spacing w:beforeLines="0" w:afterLines="0" w:line="324" w:lineRule="auto"/>
        <w:ind w:firstLine="643" w:firstLineChars="200"/>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国有资本经营预算财政拨款支出</w:t>
      </w:r>
      <w:r>
        <w:rPr>
          <w:rFonts w:hint="eastAsia" w:ascii="楷体" w:hAnsi="楷体" w:eastAsia="楷体"/>
          <w:b/>
          <w:color w:val="000000"/>
          <w:sz w:val="32"/>
          <w:highlight w:val="white"/>
          <w:lang w:val="zh-CN"/>
        </w:rPr>
        <w:t>决算</w:t>
      </w:r>
      <w:r>
        <w:rPr>
          <w:rFonts w:hint="eastAsia" w:ascii="楷体" w:hAnsi="楷体" w:eastAsia="楷体"/>
          <w:b/>
          <w:color w:val="000000"/>
          <w:sz w:val="32"/>
          <w:highlight w:val="white"/>
          <w:lang w:val="en-US"/>
        </w:rPr>
        <w:t>总体情况说明</w:t>
      </w:r>
    </w:p>
    <w:p>
      <w:pPr>
        <w:numPr>
          <w:ilvl w:val="0"/>
          <w:numId w:val="0"/>
        </w:numPr>
        <w:spacing w:beforeLines="0" w:afterLines="0" w:line="324" w:lineRule="auto"/>
        <w:ind w:firstLine="640" w:firstLineChars="200"/>
        <w:rPr>
          <w:rFonts w:hint="eastAsia" w:ascii="仿宋" w:hAnsi="仿宋" w:eastAsia="仿宋"/>
          <w:b/>
          <w:color w:val="000000"/>
          <w:sz w:val="32"/>
          <w:highlight w:val="white"/>
          <w:lang w:val="en-US" w:eastAsia="zh-CN"/>
        </w:rPr>
      </w:pPr>
      <w:r>
        <w:rPr>
          <w:rFonts w:hint="eastAsia" w:ascii="仿宋" w:hAnsi="仿宋" w:eastAsia="仿宋"/>
          <w:color w:val="000000"/>
          <w:sz w:val="32"/>
          <w:highlight w:val="white"/>
          <w:lang w:val="en-US"/>
        </w:rPr>
        <w:t>本单位2021年度无国有资本经营预算财政拨款收支安排，故无相关数据</w:t>
      </w:r>
      <w:r>
        <w:rPr>
          <w:rFonts w:hint="eastAsia" w:ascii="仿宋" w:hAnsi="仿宋" w:eastAsia="仿宋"/>
          <w:color w:val="000000"/>
          <w:sz w:val="32"/>
          <w:highlight w:val="white"/>
          <w:lang w:val="en-US" w:eastAsia="zh-CN"/>
        </w:rPr>
        <w:t>。</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1.国有资本经营预算财政拨款支出决算总体情况。</w:t>
      </w:r>
    </w:p>
    <w:p>
      <w:pPr>
        <w:numPr>
          <w:ilvl w:val="0"/>
          <w:numId w:val="0"/>
        </w:numPr>
        <w:spacing w:beforeLines="0" w:afterLines="0"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年度无国有资本经营预算财政拨款收支安排，故无相关数据。</w:t>
      </w:r>
    </w:p>
    <w:p>
      <w:pPr>
        <w:spacing w:beforeLines="0" w:afterLines="0"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2.国有资本经营预算财政拨款支出决算结构情况。</w:t>
      </w:r>
    </w:p>
    <w:p>
      <w:pPr>
        <w:numPr>
          <w:ilvl w:val="0"/>
          <w:numId w:val="0"/>
        </w:numPr>
        <w:spacing w:beforeLines="0" w:afterLines="0"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年度无国有资本经营预算财政拨款收支安排，故无相关数据。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3.国有资本经营预算财政拨款支出决算具体情况。</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年度无国有资本经营预算财政拨款收支安排，故无相关数据。</w:t>
      </w:r>
    </w:p>
    <w:p>
      <w:pPr>
        <w:spacing w:beforeLines="0" w:afterLines="0"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（九）一般公共预算财政拨款“三公”经费支出决算情况说明</w:t>
      </w:r>
    </w:p>
    <w:p>
      <w:pPr>
        <w:spacing w:beforeLines="0" w:afterLines="0" w:line="324" w:lineRule="auto"/>
        <w:ind w:firstLine="594"/>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rPr>
        <w:t xml:space="preserve">1.“三公”经费一般公共预算财政拨款支出决算总体情况说明。 </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2021年度“三公”经费一般公共预算财政拨款支出预算为</w:t>
      </w:r>
      <w:r>
        <w:rPr>
          <w:rFonts w:hint="eastAsia" w:ascii="仿宋" w:hAnsi="仿宋" w:eastAsia="仿宋"/>
          <w:color w:val="000000"/>
          <w:sz w:val="32"/>
          <w:highlight w:val="white"/>
          <w:lang w:val="en-US" w:eastAsia="zh-CN"/>
        </w:rPr>
        <w:t>3</w:t>
      </w:r>
      <w:r>
        <w:rPr>
          <w:rFonts w:hint="eastAsia" w:ascii="仿宋" w:hAnsi="仿宋" w:eastAsia="仿宋"/>
          <w:color w:val="000000"/>
          <w:sz w:val="32"/>
          <w:highlight w:val="white"/>
          <w:lang w:val="en-US"/>
        </w:rPr>
        <w:t>万元，支出决算为0.5万元，完成预算的</w:t>
      </w:r>
      <w:r>
        <w:rPr>
          <w:rFonts w:hint="eastAsia" w:ascii="仿宋" w:hAnsi="仿宋" w:eastAsia="仿宋"/>
          <w:color w:val="000000"/>
          <w:sz w:val="32"/>
          <w:highlight w:val="white"/>
          <w:lang w:val="en-US" w:eastAsia="zh-CN"/>
        </w:rPr>
        <w:t>16.67</w:t>
      </w:r>
      <w:r>
        <w:rPr>
          <w:rFonts w:hint="eastAsia" w:ascii="仿宋" w:hAnsi="仿宋" w:eastAsia="仿宋"/>
          <w:color w:val="000000"/>
          <w:sz w:val="32"/>
          <w:highlight w:val="white"/>
          <w:lang w:val="en-US"/>
        </w:rPr>
        <w:t>%,2021年度“三公”经费支出决算数小于预算数的主要原因是</w:t>
      </w:r>
      <w:r>
        <w:rPr>
          <w:rFonts w:hint="eastAsia" w:ascii="仿宋" w:hAnsi="仿宋" w:eastAsia="仿宋"/>
          <w:color w:val="000000"/>
          <w:sz w:val="32"/>
          <w:highlight w:val="white"/>
          <w:lang w:val="en-US" w:eastAsia="zh-CN"/>
        </w:rPr>
        <w:t>审判保障中心人员已分散在法院各个部门，保障中心业务用车较少</w:t>
      </w:r>
      <w:r>
        <w:rPr>
          <w:rFonts w:hint="eastAsia" w:ascii="仿宋" w:hAnsi="仿宋" w:eastAsia="仿宋"/>
          <w:color w:val="000000"/>
          <w:sz w:val="32"/>
          <w:highlight w:val="white"/>
          <w:lang w:val="en-US"/>
        </w:rPr>
        <w:t>。</w:t>
      </w:r>
    </w:p>
    <w:p>
      <w:pPr>
        <w:spacing w:beforeLines="0" w:afterLines="0" w:line="324" w:lineRule="auto"/>
        <w:ind w:firstLine="594"/>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rPr>
        <w:t>2.“三公”经费一般公共预算财政拨款支出决算具体情况说明。</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2021年度“三公”经费一般公共预算财政拨款支出决算中，因公出国（境）费用支出决算为0万元，占0%，与2020年度</w:t>
      </w:r>
      <w:r>
        <w:rPr>
          <w:rFonts w:hint="eastAsia" w:ascii="仿宋" w:hAnsi="仿宋" w:eastAsia="仿宋"/>
          <w:color w:val="000000"/>
          <w:sz w:val="32"/>
          <w:highlight w:val="white"/>
          <w:lang w:val="en-US" w:eastAsia="zh-CN"/>
        </w:rPr>
        <w:t>持平</w:t>
      </w:r>
      <w:r>
        <w:rPr>
          <w:rFonts w:hint="eastAsia" w:ascii="仿宋" w:hAnsi="仿宋" w:eastAsia="仿宋"/>
          <w:color w:val="000000"/>
          <w:sz w:val="32"/>
          <w:highlight w:val="white"/>
          <w:lang w:val="en-US"/>
        </w:rPr>
        <w:t>；公务用车购置及运行维护费支出决算为0.5万元，占100%，与2020年度相比，减少</w:t>
      </w:r>
      <w:r>
        <w:rPr>
          <w:rFonts w:hint="eastAsia" w:ascii="仿宋" w:hAnsi="仿宋" w:eastAsia="仿宋"/>
          <w:color w:val="000000"/>
          <w:sz w:val="32"/>
          <w:highlight w:val="white"/>
          <w:lang w:val="en-US" w:eastAsia="zh-CN"/>
        </w:rPr>
        <w:t>2.49</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83.28</w:t>
      </w:r>
      <w:r>
        <w:rPr>
          <w:rFonts w:hint="eastAsia" w:ascii="仿宋" w:hAnsi="仿宋" w:eastAsia="仿宋"/>
          <w:color w:val="000000"/>
          <w:sz w:val="32"/>
          <w:highlight w:val="white"/>
          <w:lang w:val="en-US"/>
        </w:rPr>
        <w:t>%，主要原因是</w:t>
      </w:r>
      <w:r>
        <w:rPr>
          <w:rFonts w:hint="eastAsia" w:ascii="仿宋" w:hAnsi="仿宋" w:eastAsia="仿宋"/>
          <w:color w:val="000000"/>
          <w:sz w:val="32"/>
          <w:highlight w:val="white"/>
          <w:lang w:val="en-US" w:eastAsia="zh-CN"/>
        </w:rPr>
        <w:t>审判保障中心人员已分散在法院各个部门，保障中心业务用车较少</w:t>
      </w:r>
      <w:r>
        <w:rPr>
          <w:rFonts w:hint="eastAsia" w:ascii="仿宋" w:hAnsi="仿宋" w:eastAsia="仿宋"/>
          <w:color w:val="000000"/>
          <w:sz w:val="32"/>
          <w:highlight w:val="white"/>
          <w:lang w:val="en-US"/>
        </w:rPr>
        <w:t>；公务接待费支出决算为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万元，占0%，与2020年度相比，减少</w:t>
      </w:r>
      <w:r>
        <w:rPr>
          <w:rFonts w:hint="eastAsia" w:ascii="仿宋" w:hAnsi="仿宋" w:eastAsia="仿宋"/>
          <w:color w:val="000000"/>
          <w:sz w:val="32"/>
          <w:highlight w:val="white"/>
          <w:lang w:val="en-US" w:eastAsia="zh-CN"/>
        </w:rPr>
        <w:t>1.46</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100</w:t>
      </w:r>
      <w:r>
        <w:rPr>
          <w:rFonts w:hint="eastAsia" w:ascii="仿宋" w:hAnsi="仿宋" w:eastAsia="仿宋"/>
          <w:color w:val="000000"/>
          <w:sz w:val="32"/>
          <w:highlight w:val="white"/>
          <w:lang w:val="en-US"/>
        </w:rPr>
        <w:t>%，主要原因是</w:t>
      </w:r>
      <w:r>
        <w:rPr>
          <w:rFonts w:hint="eastAsia" w:ascii="仿宋" w:hAnsi="仿宋" w:eastAsia="仿宋"/>
          <w:color w:val="000000"/>
          <w:sz w:val="32"/>
          <w:highlight w:val="white"/>
          <w:lang w:val="en-US" w:eastAsia="zh-CN"/>
        </w:rPr>
        <w:t>疫情原因审判中心无人员招待</w:t>
      </w:r>
      <w:r>
        <w:rPr>
          <w:rFonts w:hint="eastAsia" w:ascii="仿宋" w:hAnsi="仿宋" w:eastAsia="仿宋"/>
          <w:color w:val="000000"/>
          <w:sz w:val="32"/>
          <w:highlight w:val="white"/>
          <w:lang w:val="en-US"/>
        </w:rPr>
        <w:t>。具体情况如下：</w:t>
      </w:r>
    </w:p>
    <w:p>
      <w:pPr>
        <w:numPr>
          <w:ilvl w:val="0"/>
          <w:numId w:val="3"/>
        </w:num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因公出国（境）费</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万元，支出决算为</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万元。完成预算的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%。主要用于机关及下属预算单位人员的</w:t>
      </w:r>
      <w:r>
        <w:rPr>
          <w:rFonts w:hint="eastAsia" w:ascii="仿宋" w:hAnsi="仿宋" w:eastAsia="仿宋"/>
          <w:color w:val="000000"/>
          <w:sz w:val="32"/>
          <w:highlight w:val="white"/>
          <w:lang w:val="en-US" w:eastAsia="zh-CN"/>
        </w:rPr>
        <w:t>审判执行</w:t>
      </w:r>
      <w:r>
        <w:rPr>
          <w:rFonts w:hint="eastAsia" w:ascii="仿宋" w:hAnsi="仿宋" w:eastAsia="仿宋"/>
          <w:color w:val="000000"/>
          <w:sz w:val="32"/>
          <w:highlight w:val="white"/>
          <w:lang w:val="en-US"/>
        </w:rPr>
        <w:t>等公务出国（境）的住宿费、国际旅费、培训费、公杂费等支出。全年使用一般公共预算财政拨款支出涉及因公出国(境)团组0个；累计</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人次。</w:t>
      </w:r>
    </w:p>
    <w:p>
      <w:pPr>
        <w:numPr>
          <w:ilvl w:val="0"/>
          <w:numId w:val="0"/>
        </w:numPr>
        <w:spacing w:beforeLines="0" w:afterLines="0" w:line="324" w:lineRule="auto"/>
        <w:ind w:firstLine="643" w:firstLineChars="200"/>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（2）公务用车购置及运行维护费</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3</w:t>
      </w:r>
      <w:r>
        <w:rPr>
          <w:rFonts w:hint="eastAsia" w:ascii="仿宋" w:hAnsi="仿宋" w:eastAsia="仿宋"/>
          <w:color w:val="000000"/>
          <w:sz w:val="32"/>
          <w:highlight w:val="white"/>
          <w:lang w:val="en-US"/>
        </w:rPr>
        <w:t>万元，支出决算为0.5万元，完成预算的</w:t>
      </w:r>
      <w:r>
        <w:rPr>
          <w:rFonts w:hint="eastAsia" w:ascii="仿宋" w:hAnsi="仿宋" w:eastAsia="仿宋"/>
          <w:color w:val="000000"/>
          <w:sz w:val="32"/>
          <w:highlight w:val="white"/>
          <w:lang w:val="en-US" w:eastAsia="zh-CN"/>
        </w:rPr>
        <w:t>16.67</w:t>
      </w:r>
      <w:r>
        <w:rPr>
          <w:rFonts w:hint="eastAsia" w:ascii="仿宋" w:hAnsi="仿宋" w:eastAsia="仿宋"/>
          <w:color w:val="000000"/>
          <w:sz w:val="32"/>
          <w:highlight w:val="white"/>
          <w:lang w:val="en-US"/>
        </w:rPr>
        <w:t>%。决算数小于预算数的主要原因是</w:t>
      </w:r>
      <w:r>
        <w:rPr>
          <w:rFonts w:hint="eastAsia" w:ascii="仿宋" w:hAnsi="仿宋" w:eastAsia="仿宋"/>
          <w:color w:val="000000"/>
          <w:sz w:val="32"/>
          <w:highlight w:val="white"/>
          <w:lang w:val="en-US" w:eastAsia="zh-CN"/>
        </w:rPr>
        <w:t>审判保障中心人员已分散在法院各个部门，保障中心业务用车较少</w:t>
      </w:r>
      <w:r>
        <w:rPr>
          <w:rFonts w:hint="eastAsia" w:ascii="仿宋" w:hAnsi="仿宋" w:eastAsia="仿宋"/>
          <w:color w:val="000000"/>
          <w:sz w:val="32"/>
          <w:highlight w:val="white"/>
          <w:lang w:val="en-US"/>
        </w:rPr>
        <w:t>。</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公务用车购置</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万元，支出决算为</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万元（含购置税等附加费用），完成预算的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%。主要用于经批准购置的</w:t>
      </w:r>
      <w:r>
        <w:rPr>
          <w:rFonts w:hint="eastAsia" w:ascii="仿宋" w:hAnsi="仿宋" w:eastAsia="仿宋"/>
          <w:color w:val="auto"/>
          <w:sz w:val="30"/>
          <w:highlight w:val="white"/>
          <w:lang w:val="zh-CN"/>
        </w:rPr>
        <w:t>0</w:t>
      </w:r>
      <w:r>
        <w:rPr>
          <w:rFonts w:hint="eastAsia" w:ascii="仿宋" w:hAnsi="仿宋" w:eastAsia="仿宋"/>
          <w:color w:val="000000"/>
          <w:sz w:val="32"/>
          <w:highlight w:val="white"/>
          <w:lang w:val="en-US"/>
        </w:rPr>
        <w:t>辆公务用车；</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公务用车运行维护费</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3</w:t>
      </w:r>
      <w:r>
        <w:rPr>
          <w:rFonts w:hint="eastAsia" w:ascii="仿宋" w:hAnsi="仿宋" w:eastAsia="仿宋"/>
          <w:color w:val="000000"/>
          <w:sz w:val="32"/>
          <w:highlight w:val="white"/>
          <w:lang w:val="en-US"/>
        </w:rPr>
        <w:t>万元，支出</w:t>
      </w:r>
      <w:r>
        <w:rPr>
          <w:rFonts w:hint="eastAsia" w:ascii="仿宋" w:hAnsi="仿宋" w:eastAsia="仿宋"/>
          <w:color w:val="auto"/>
          <w:sz w:val="30"/>
          <w:highlight w:val="white"/>
          <w:lang w:val="zh-CN"/>
        </w:rPr>
        <w:t>0.5</w:t>
      </w:r>
      <w:r>
        <w:rPr>
          <w:rFonts w:hint="eastAsia" w:ascii="仿宋" w:hAnsi="仿宋" w:eastAsia="仿宋"/>
          <w:color w:val="000000"/>
          <w:sz w:val="32"/>
          <w:highlight w:val="white"/>
          <w:lang w:val="en-US"/>
        </w:rPr>
        <w:t>万元，完成预算的</w:t>
      </w:r>
      <w:r>
        <w:rPr>
          <w:rFonts w:hint="eastAsia" w:ascii="仿宋" w:hAnsi="仿宋" w:eastAsia="仿宋"/>
          <w:color w:val="000000"/>
          <w:sz w:val="32"/>
          <w:highlight w:val="white"/>
          <w:lang w:val="en-US" w:eastAsia="zh-CN"/>
        </w:rPr>
        <w:t>16.67</w:t>
      </w:r>
      <w:r>
        <w:rPr>
          <w:rFonts w:hint="eastAsia" w:ascii="仿宋" w:hAnsi="仿宋" w:eastAsia="仿宋"/>
          <w:color w:val="000000"/>
          <w:sz w:val="32"/>
          <w:highlight w:val="white"/>
          <w:lang w:val="en-US"/>
        </w:rPr>
        <w:t>%。决算数小于预算数的主要原因是</w:t>
      </w:r>
      <w:r>
        <w:rPr>
          <w:rFonts w:hint="eastAsia" w:ascii="仿宋" w:hAnsi="仿宋" w:eastAsia="仿宋"/>
          <w:color w:val="000000"/>
          <w:sz w:val="32"/>
          <w:highlight w:val="white"/>
          <w:lang w:val="en-US" w:eastAsia="zh-CN"/>
        </w:rPr>
        <w:t>审判保障中心人员已分散在法院各个部门，保障中心业务用车较少</w:t>
      </w:r>
      <w:r>
        <w:rPr>
          <w:rFonts w:hint="eastAsia" w:ascii="仿宋" w:hAnsi="仿宋" w:eastAsia="仿宋"/>
          <w:color w:val="000000"/>
          <w:sz w:val="32"/>
          <w:highlight w:val="white"/>
          <w:lang w:val="en-US"/>
        </w:rPr>
        <w:t>。主要用于车</w:t>
      </w:r>
      <w:r>
        <w:rPr>
          <w:rFonts w:hint="eastAsia" w:ascii="仿宋" w:hAnsi="仿宋" w:eastAsia="仿宋"/>
          <w:color w:val="000000"/>
          <w:sz w:val="32"/>
          <w:highlight w:val="white"/>
          <w:lang w:val="en-US" w:eastAsia="zh-CN"/>
        </w:rPr>
        <w:t>量</w:t>
      </w:r>
      <w:r>
        <w:rPr>
          <w:rFonts w:hint="eastAsia" w:ascii="仿宋" w:hAnsi="仿宋" w:eastAsia="仿宋"/>
          <w:color w:val="000000"/>
          <w:sz w:val="32"/>
          <w:highlight w:val="white"/>
          <w:lang w:val="en-US"/>
        </w:rPr>
        <w:t>所需的公务用车燃料费支出；2021年度，本级及所属单位开支一般公共预算财政拨款的公务用车保有量为</w:t>
      </w:r>
      <w:r>
        <w:rPr>
          <w:rFonts w:hint="eastAsia" w:ascii="仿宋" w:hAnsi="仿宋" w:eastAsia="仿宋"/>
          <w:color w:val="auto"/>
          <w:sz w:val="30"/>
          <w:highlight w:val="white"/>
          <w:lang w:val="en-US" w:eastAsia="zh-CN"/>
        </w:rPr>
        <w:t>1</w:t>
      </w:r>
      <w:r>
        <w:rPr>
          <w:rFonts w:hint="eastAsia" w:ascii="仿宋" w:hAnsi="仿宋" w:eastAsia="仿宋"/>
          <w:color w:val="000000"/>
          <w:sz w:val="32"/>
          <w:highlight w:val="white"/>
          <w:lang w:val="en-US"/>
        </w:rPr>
        <w:t>辆。</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（3）公务接待费</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万元，支出决算为0万元，完成预算的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%。国内公务接待0批次，累计0人次。</w:t>
      </w:r>
      <w:r>
        <w:rPr>
          <w:rFonts w:hint="eastAsia" w:ascii="仿宋" w:hAnsi="仿宋" w:eastAsia="仿宋"/>
          <w:color w:val="000000"/>
          <w:sz w:val="32"/>
          <w:highlight w:val="white"/>
          <w:lang w:val="en-US" w:eastAsia="zh-CN"/>
        </w:rPr>
        <w:t>未产生招待费用</w:t>
      </w:r>
      <w:r>
        <w:rPr>
          <w:rFonts w:hint="eastAsia" w:ascii="仿宋" w:hAnsi="仿宋" w:eastAsia="仿宋"/>
          <w:color w:val="000000"/>
          <w:sz w:val="32"/>
          <w:highlight w:val="white"/>
          <w:lang w:val="en-US"/>
        </w:rPr>
        <w:t>。其中：</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外事接待</w:t>
      </w:r>
      <w:r>
        <w:rPr>
          <w:rFonts w:hint="eastAsia" w:ascii="仿宋" w:hAnsi="仿宋" w:eastAsia="仿宋"/>
          <w:color w:val="000000"/>
          <w:sz w:val="32"/>
          <w:highlight w:val="white"/>
          <w:lang w:val="en-US"/>
        </w:rPr>
        <w:t>支出0万元，接待0批次，累计0人次。</w:t>
      </w:r>
    </w:p>
    <w:p>
      <w:pPr>
        <w:spacing w:beforeLines="0" w:afterLines="0" w:line="324" w:lineRule="auto"/>
        <w:ind w:firstLine="594"/>
        <w:rPr>
          <w:rFonts w:hint="default" w:eastAsia="Times New Roman"/>
          <w:color w:val="000000"/>
          <w:sz w:val="32"/>
          <w:highlight w:val="white"/>
          <w:lang w:val="en-US"/>
        </w:rPr>
      </w:pPr>
      <w:r>
        <w:rPr>
          <w:rFonts w:hint="eastAsia" w:ascii="仿宋" w:hAnsi="仿宋" w:eastAsia="仿宋"/>
          <w:b/>
          <w:color w:val="000000"/>
          <w:sz w:val="32"/>
          <w:highlight w:val="white"/>
          <w:lang w:val="en-US"/>
        </w:rPr>
        <w:t>其他国内公务接待</w:t>
      </w:r>
      <w:r>
        <w:rPr>
          <w:rFonts w:hint="eastAsia" w:ascii="仿宋" w:hAnsi="仿宋" w:eastAsia="仿宋"/>
          <w:color w:val="000000"/>
          <w:sz w:val="32"/>
          <w:highlight w:val="white"/>
          <w:lang w:val="en-US"/>
        </w:rPr>
        <w:t>支出0万元，接待0批次，累计0人次。</w:t>
      </w:r>
    </w:p>
    <w:p>
      <w:pPr>
        <w:spacing w:beforeLines="0" w:afterLines="0" w:line="324" w:lineRule="auto"/>
        <w:ind w:firstLine="594"/>
        <w:rPr>
          <w:rFonts w:hint="eastAsia" w:ascii="仿宋" w:hAnsi="仿宋" w:eastAsia="仿宋"/>
          <w:color w:val="000000"/>
          <w:sz w:val="32"/>
          <w:highlight w:val="white"/>
          <w:lang w:val="en-US"/>
        </w:rPr>
      </w:pPr>
      <w:r>
        <w:rPr>
          <w:rFonts w:hint="eastAsia" w:ascii="楷体" w:hAnsi="楷体" w:eastAsia="楷体"/>
          <w:b/>
          <w:color w:val="000000"/>
          <w:sz w:val="32"/>
          <w:highlight w:val="white"/>
          <w:lang w:val="en-US"/>
        </w:rPr>
        <w:t>（十）机关运行经费支出说明</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2021年度机关运行经费年初预算数为</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万元，支出决算为</w:t>
      </w:r>
      <w:r>
        <w:rPr>
          <w:rFonts w:hint="eastAsia" w:ascii="仿宋" w:hAnsi="仿宋" w:eastAsia="仿宋"/>
          <w:color w:val="auto"/>
          <w:kern w:val="0"/>
          <w:sz w:val="32"/>
          <w:highlight w:val="white"/>
          <w:lang w:val="en-US"/>
        </w:rPr>
        <w:t>0</w:t>
      </w:r>
      <w:r>
        <w:rPr>
          <w:rFonts w:hint="eastAsia" w:ascii="仿宋" w:hAnsi="仿宋" w:eastAsia="仿宋"/>
          <w:color w:val="000000"/>
          <w:sz w:val="32"/>
          <w:highlight w:val="white"/>
          <w:lang w:val="en-US"/>
        </w:rPr>
        <w:t>万元，完成年初预算的</w:t>
      </w:r>
      <w:r>
        <w:rPr>
          <w:rFonts w:hint="eastAsia" w:ascii="仿宋" w:hAnsi="仿宋" w:eastAsia="仿宋"/>
          <w:color w:val="000000"/>
          <w:sz w:val="32"/>
          <w:highlight w:val="white"/>
          <w:lang w:val="en-US" w:eastAsia="zh-CN"/>
        </w:rPr>
        <w:t>0</w:t>
      </w:r>
      <w:r>
        <w:rPr>
          <w:rFonts w:hint="eastAsia" w:ascii="仿宋" w:hAnsi="仿宋" w:eastAsia="仿宋"/>
          <w:color w:val="000000"/>
          <w:sz w:val="32"/>
          <w:highlight w:val="white"/>
          <w:lang w:val="en-US"/>
        </w:rPr>
        <w:t>%；</w:t>
      </w:r>
      <w:r>
        <w:rPr>
          <w:rFonts w:hint="eastAsia" w:ascii="仿宋" w:hAnsi="仿宋" w:eastAsia="仿宋"/>
          <w:color w:val="000000"/>
          <w:sz w:val="32"/>
          <w:highlight w:val="white"/>
          <w:lang w:val="en-US" w:eastAsia="zh-CN"/>
        </w:rPr>
        <w:t>与</w:t>
      </w:r>
      <w:r>
        <w:rPr>
          <w:rFonts w:hint="eastAsia" w:ascii="仿宋" w:hAnsi="仿宋" w:eastAsia="仿宋"/>
          <w:color w:val="000000"/>
          <w:sz w:val="32"/>
          <w:highlight w:val="white"/>
          <w:lang w:val="en-US"/>
        </w:rPr>
        <w:t>2020年度</w:t>
      </w:r>
      <w:r>
        <w:rPr>
          <w:rFonts w:hint="eastAsia" w:ascii="仿宋" w:hAnsi="仿宋" w:eastAsia="仿宋"/>
          <w:color w:val="000000"/>
          <w:sz w:val="32"/>
          <w:highlight w:val="white"/>
          <w:lang w:val="en-US" w:eastAsia="zh-CN"/>
        </w:rPr>
        <w:t>持平</w:t>
      </w:r>
      <w:r>
        <w:rPr>
          <w:rFonts w:hint="eastAsia" w:ascii="仿宋" w:hAnsi="仿宋" w:eastAsia="仿宋"/>
          <w:color w:val="000000"/>
          <w:sz w:val="32"/>
          <w:highlight w:val="white"/>
          <w:lang w:val="en-US"/>
        </w:rPr>
        <w:t>。</w:t>
      </w:r>
    </w:p>
    <w:p>
      <w:pPr>
        <w:spacing w:beforeLines="0" w:afterLines="0"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（十一）政府采购支出说明</w:t>
      </w:r>
    </w:p>
    <w:p>
      <w:pPr>
        <w:spacing w:beforeLines="0" w:afterLines="0" w:line="324" w:lineRule="auto"/>
        <w:ind w:firstLine="594"/>
        <w:rPr>
          <w:rFonts w:hint="eastAsia" w:ascii="仿宋" w:hAnsi="仿宋" w:eastAsia="仿宋"/>
          <w:color w:val="auto"/>
          <w:sz w:val="32"/>
          <w:highlight w:val="white"/>
          <w:lang w:val="en-US"/>
        </w:rPr>
      </w:pPr>
      <w:r>
        <w:rPr>
          <w:rFonts w:hint="eastAsia" w:ascii="仿宋" w:hAnsi="仿宋" w:eastAsia="仿宋"/>
          <w:color w:val="000000"/>
          <w:sz w:val="32"/>
          <w:highlight w:val="white"/>
          <w:lang w:val="en-US"/>
        </w:rPr>
        <w:t>2021年度政府采购支出总额</w:t>
      </w:r>
      <w:r>
        <w:rPr>
          <w:rFonts w:hint="eastAsia" w:ascii="仿宋" w:hAnsi="仿宋" w:eastAsia="仿宋"/>
          <w:color w:val="auto"/>
          <w:kern w:val="0"/>
          <w:sz w:val="32"/>
          <w:highlight w:val="white"/>
          <w:lang w:val="en-US"/>
        </w:rPr>
        <w:t>1</w:t>
      </w:r>
      <w:r>
        <w:rPr>
          <w:rFonts w:hint="eastAsia" w:ascii="仿宋" w:hAnsi="仿宋" w:eastAsia="仿宋"/>
          <w:color w:val="000000"/>
          <w:sz w:val="32"/>
          <w:highlight w:val="white"/>
          <w:lang w:val="en-US"/>
        </w:rPr>
        <w:t>万元，其中：政府采购货物支出</w:t>
      </w:r>
      <w:r>
        <w:rPr>
          <w:rFonts w:hint="eastAsia" w:ascii="仿宋" w:hAnsi="仿宋" w:eastAsia="仿宋"/>
          <w:color w:val="auto"/>
          <w:kern w:val="0"/>
          <w:sz w:val="32"/>
          <w:highlight w:val="white"/>
          <w:lang w:val="en-US"/>
        </w:rPr>
        <w:t>1</w:t>
      </w:r>
      <w:r>
        <w:rPr>
          <w:rFonts w:hint="eastAsia" w:ascii="仿宋" w:hAnsi="仿宋" w:eastAsia="仿宋"/>
          <w:color w:val="000000"/>
          <w:sz w:val="32"/>
          <w:highlight w:val="white"/>
          <w:lang w:val="en-US"/>
        </w:rPr>
        <w:t>万元、政府采购工程支出</w:t>
      </w:r>
      <w:r>
        <w:rPr>
          <w:rFonts w:hint="eastAsia" w:ascii="仿宋" w:hAnsi="仿宋" w:eastAsia="仿宋"/>
          <w:color w:val="auto"/>
          <w:kern w:val="0"/>
          <w:sz w:val="32"/>
          <w:highlight w:val="white"/>
          <w:lang w:val="en-US"/>
        </w:rPr>
        <w:t>0</w:t>
      </w:r>
      <w:r>
        <w:rPr>
          <w:rFonts w:hint="eastAsia" w:ascii="仿宋" w:hAnsi="仿宋" w:eastAsia="仿宋"/>
          <w:color w:val="000000"/>
          <w:sz w:val="32"/>
          <w:highlight w:val="white"/>
          <w:lang w:val="en-US"/>
        </w:rPr>
        <w:t>万元、政府采购服务支出</w:t>
      </w:r>
      <w:r>
        <w:rPr>
          <w:rFonts w:hint="eastAsia" w:ascii="仿宋" w:hAnsi="仿宋" w:eastAsia="仿宋"/>
          <w:color w:val="auto"/>
          <w:kern w:val="0"/>
          <w:sz w:val="32"/>
          <w:highlight w:val="white"/>
          <w:lang w:val="en-US"/>
        </w:rPr>
        <w:t>0</w:t>
      </w:r>
      <w:r>
        <w:rPr>
          <w:rFonts w:hint="eastAsia" w:ascii="仿宋" w:hAnsi="仿宋" w:eastAsia="仿宋"/>
          <w:color w:val="000000"/>
          <w:sz w:val="32"/>
          <w:highlight w:val="white"/>
          <w:lang w:val="en-US"/>
        </w:rPr>
        <w:t>万元。</w:t>
      </w:r>
      <w:r>
        <w:rPr>
          <w:rFonts w:hint="eastAsia" w:ascii="仿宋" w:hAnsi="仿宋" w:eastAsia="仿宋"/>
          <w:color w:val="auto"/>
          <w:sz w:val="32"/>
          <w:highlight w:val="white"/>
          <w:lang w:val="en-US"/>
        </w:rPr>
        <w:t>授予中小企业合同金额</w:t>
      </w:r>
      <w:r>
        <w:rPr>
          <w:rFonts w:hint="eastAsia" w:ascii="仿宋" w:hAnsi="仿宋" w:eastAsia="仿宋"/>
          <w:color w:val="auto"/>
          <w:kern w:val="0"/>
          <w:sz w:val="32"/>
          <w:highlight w:val="white"/>
          <w:lang w:val="en-US"/>
        </w:rPr>
        <w:t>1</w:t>
      </w:r>
      <w:r>
        <w:rPr>
          <w:rFonts w:hint="eastAsia" w:ascii="仿宋" w:hAnsi="仿宋" w:eastAsia="仿宋"/>
          <w:color w:val="auto"/>
          <w:sz w:val="32"/>
          <w:highlight w:val="white"/>
          <w:lang w:val="en-US"/>
        </w:rPr>
        <w:t>万元，占政府采购支出总额的</w:t>
      </w:r>
      <w:r>
        <w:rPr>
          <w:rFonts w:hint="eastAsia" w:ascii="仿宋" w:hAnsi="仿宋" w:eastAsia="仿宋"/>
          <w:color w:val="auto"/>
          <w:kern w:val="0"/>
          <w:sz w:val="32"/>
          <w:highlight w:val="white"/>
          <w:lang w:val="en-US"/>
        </w:rPr>
        <w:t>100</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其中，授予小微企业合同金额</w:t>
      </w:r>
      <w:r>
        <w:rPr>
          <w:rFonts w:hint="eastAsia" w:ascii="仿宋" w:hAnsi="仿宋" w:eastAsia="仿宋"/>
          <w:color w:val="auto"/>
          <w:kern w:val="0"/>
          <w:sz w:val="32"/>
          <w:highlight w:val="white"/>
          <w:lang w:val="en-US"/>
        </w:rPr>
        <w:t>1</w:t>
      </w:r>
      <w:r>
        <w:rPr>
          <w:rFonts w:hint="eastAsia" w:ascii="仿宋" w:hAnsi="仿宋" w:eastAsia="仿宋"/>
          <w:color w:val="000000"/>
          <w:sz w:val="32"/>
          <w:highlight w:val="white"/>
          <w:lang w:val="en-US"/>
        </w:rPr>
        <w:t>万元，</w:t>
      </w:r>
      <w:r>
        <w:rPr>
          <w:rFonts w:hint="eastAsia" w:ascii="仿宋" w:hAnsi="仿宋" w:eastAsia="仿宋"/>
          <w:color w:val="auto"/>
          <w:sz w:val="32"/>
          <w:highlight w:val="white"/>
          <w:lang w:val="en-US"/>
        </w:rPr>
        <w:t>占授予中小企业合同金额</w:t>
      </w:r>
      <w:r>
        <w:rPr>
          <w:rFonts w:hint="eastAsia" w:ascii="仿宋" w:hAnsi="仿宋" w:eastAsia="仿宋"/>
          <w:color w:val="000000"/>
          <w:sz w:val="32"/>
          <w:highlight w:val="white"/>
          <w:lang w:val="en-US"/>
        </w:rPr>
        <w:t>的</w:t>
      </w:r>
      <w:r>
        <w:rPr>
          <w:rFonts w:hint="eastAsia" w:ascii="仿宋" w:hAnsi="仿宋" w:eastAsia="仿宋"/>
          <w:color w:val="auto"/>
          <w:kern w:val="0"/>
          <w:sz w:val="32"/>
          <w:highlight w:val="white"/>
          <w:lang w:val="en-US"/>
        </w:rPr>
        <w:t>100</w:t>
      </w:r>
      <w:r>
        <w:rPr>
          <w:rFonts w:hint="eastAsia" w:ascii="仿宋" w:hAnsi="仿宋" w:eastAsia="仿宋"/>
          <w:color w:val="auto"/>
          <w:sz w:val="32"/>
          <w:highlight w:val="white"/>
          <w:lang w:val="en-US"/>
        </w:rPr>
        <w:t>%；货物采购授予中小企业合同金额占货物支出金额的</w:t>
      </w:r>
      <w:r>
        <w:rPr>
          <w:rFonts w:hint="eastAsia" w:ascii="仿宋" w:hAnsi="仿宋" w:eastAsia="仿宋"/>
          <w:color w:val="000000"/>
          <w:sz w:val="32"/>
          <w:highlight w:val="white"/>
          <w:lang w:val="en-US" w:eastAsia="zh-CN"/>
        </w:rPr>
        <w:t>100</w:t>
      </w:r>
      <w:r>
        <w:rPr>
          <w:rFonts w:hint="eastAsia" w:ascii="仿宋" w:hAnsi="仿宋" w:eastAsia="仿宋"/>
          <w:color w:val="auto"/>
          <w:sz w:val="32"/>
          <w:highlight w:val="white"/>
          <w:lang w:val="en-US"/>
        </w:rPr>
        <w:t>%，工程采购授予中小企业合同金额占工程支出金额的</w:t>
      </w:r>
      <w:r>
        <w:rPr>
          <w:rFonts w:hint="eastAsia" w:ascii="仿宋" w:hAnsi="仿宋" w:eastAsia="仿宋"/>
          <w:color w:val="auto"/>
          <w:sz w:val="32"/>
          <w:highlight w:val="white"/>
          <w:lang w:val="en-US" w:eastAsia="zh-CN"/>
        </w:rPr>
        <w:t>0</w:t>
      </w:r>
      <w:r>
        <w:rPr>
          <w:rFonts w:hint="eastAsia" w:ascii="仿宋" w:hAnsi="仿宋" w:eastAsia="仿宋"/>
          <w:color w:val="auto"/>
          <w:sz w:val="32"/>
          <w:highlight w:val="white"/>
          <w:lang w:val="en-US"/>
        </w:rPr>
        <w:t>%，服务采购授予中小企业合同金额占服务支出金额的</w:t>
      </w:r>
      <w:r>
        <w:rPr>
          <w:rFonts w:hint="eastAsia" w:ascii="仿宋" w:hAnsi="仿宋" w:eastAsia="仿宋"/>
          <w:color w:val="000000"/>
          <w:sz w:val="32"/>
          <w:highlight w:val="white"/>
          <w:lang w:val="en-US" w:eastAsia="zh-CN"/>
        </w:rPr>
        <w:t>0</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w:t>
      </w:r>
    </w:p>
    <w:p>
      <w:pPr>
        <w:spacing w:beforeLines="0" w:afterLines="0"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（十二）国有资产占有情况说明</w:t>
      </w:r>
    </w:p>
    <w:p>
      <w:pPr>
        <w:autoSpaceDE w:val="0"/>
        <w:autoSpaceDN w:val="0"/>
        <w:adjustRightInd w:val="0"/>
        <w:spacing w:beforeLines="0" w:afterLines="0" w:line="324" w:lineRule="auto"/>
        <w:ind w:firstLine="594"/>
        <w:rPr>
          <w:rFonts w:hint="eastAsia" w:ascii="楷体" w:hAnsi="楷体" w:eastAsia="楷体"/>
          <w:b/>
          <w:color w:val="000000"/>
          <w:sz w:val="32"/>
          <w:highlight w:val="white"/>
          <w:lang w:val="en-US"/>
        </w:rPr>
      </w:pPr>
      <w:r>
        <w:rPr>
          <w:rFonts w:hint="eastAsia" w:ascii="仿宋" w:hAnsi="仿宋" w:eastAsia="仿宋"/>
          <w:color w:val="000000"/>
          <w:sz w:val="32"/>
          <w:highlight w:val="white"/>
          <w:lang w:val="en-US"/>
        </w:rPr>
        <w:t xml:space="preserve">截至2021年12月31日，本单位共有车辆1辆，其中，其他用车1辆,其他用车主要是机要用车；单价50万元以上通用设备0台（套），单价100万元以上专用设备0台（套）。 </w:t>
      </w:r>
    </w:p>
    <w:p>
      <w:pPr>
        <w:spacing w:beforeLines="0" w:afterLines="0" w:line="324" w:lineRule="auto"/>
        <w:ind w:firstLine="594"/>
        <w:rPr>
          <w:rFonts w:hint="eastAsia" w:ascii="仿宋" w:hAnsi="仿宋" w:eastAsia="仿宋"/>
          <w:color w:val="000000"/>
          <w:sz w:val="32"/>
          <w:highlight w:val="white"/>
          <w:lang w:val="en-US"/>
        </w:rPr>
      </w:pPr>
      <w:r>
        <w:rPr>
          <w:rFonts w:hint="eastAsia" w:ascii="楷体" w:hAnsi="楷体" w:eastAsia="楷体"/>
          <w:b/>
          <w:color w:val="000000"/>
          <w:sz w:val="32"/>
          <w:highlight w:val="white"/>
          <w:lang w:val="en-US"/>
        </w:rPr>
        <w:t>（十三）预算绩效情况说明</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1.预算绩效管理工作开展情况。</w:t>
      </w:r>
    </w:p>
    <w:p>
      <w:pPr>
        <w:spacing w:beforeLines="0" w:afterLines="0" w:line="324" w:lineRule="auto"/>
        <w:ind w:firstLine="594"/>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rPr>
        <w:t>本年无政府性基金预算项目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本年无国有资本经营预算项目</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本年无部门评价</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本年单位整体支出绩效评价</w:t>
      </w:r>
    </w:p>
    <w:p>
      <w:pPr>
        <w:numPr>
          <w:ilvl w:val="0"/>
          <w:numId w:val="0"/>
        </w:numPr>
        <w:spacing w:beforeLines="0" w:afterLines="0" w:line="324" w:lineRule="auto"/>
        <w:ind w:firstLine="643" w:firstLineChars="200"/>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eastAsia="zh-CN"/>
        </w:rPr>
        <w:t>2.</w:t>
      </w:r>
      <w:r>
        <w:rPr>
          <w:rFonts w:hint="eastAsia" w:ascii="仿宋" w:hAnsi="仿宋" w:eastAsia="仿宋"/>
          <w:b/>
          <w:color w:val="000000"/>
          <w:sz w:val="32"/>
          <w:highlight w:val="white"/>
          <w:lang w:val="en-US"/>
        </w:rPr>
        <w:t>部门（单位）决算中项目绩效自评结果</w:t>
      </w:r>
    </w:p>
    <w:p>
      <w:pPr>
        <w:numPr>
          <w:ilvl w:val="0"/>
          <w:numId w:val="0"/>
        </w:numPr>
        <w:spacing w:beforeLines="0" w:afterLines="0" w:line="324" w:lineRule="auto"/>
        <w:ind w:firstLine="643" w:firstLineChars="200"/>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本单位</w:t>
      </w:r>
      <w:r>
        <w:rPr>
          <w:rFonts w:hint="eastAsia" w:ascii="仿宋" w:hAnsi="仿宋" w:eastAsia="仿宋"/>
          <w:b/>
          <w:color w:val="000000"/>
          <w:sz w:val="32"/>
          <w:highlight w:val="white"/>
          <w:lang w:val="en-US" w:eastAsia="zh-CN"/>
        </w:rPr>
        <w:t>无</w:t>
      </w:r>
      <w:r>
        <w:rPr>
          <w:rFonts w:hint="eastAsia" w:ascii="仿宋" w:hAnsi="仿宋" w:eastAsia="仿宋"/>
          <w:b/>
          <w:color w:val="000000"/>
          <w:sz w:val="32"/>
          <w:highlight w:val="white"/>
          <w:lang w:val="en-US"/>
        </w:rPr>
        <w:t>预算项目</w:t>
      </w:r>
    </w:p>
    <w:p>
      <w:pPr>
        <w:pStyle w:val="2"/>
        <w:spacing w:beforeLines="0" w:afterLines="0"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3.财政评价项目绩效评价结果（无）。</w:t>
      </w:r>
    </w:p>
    <w:p>
      <w:pPr>
        <w:pStyle w:val="2"/>
        <w:spacing w:beforeLines="0" w:afterLines="0"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4.部门评价项目绩效评价结果（无）。</w:t>
      </w:r>
    </w:p>
    <w:p>
      <w:pPr>
        <w:spacing w:beforeLines="0" w:afterLines="0" w:line="324" w:lineRule="auto"/>
        <w:ind w:firstLine="600"/>
        <w:rPr>
          <w:rFonts w:hint="default" w:eastAsia="Times New Roman"/>
          <w:b/>
          <w:color w:val="000000"/>
          <w:sz w:val="32"/>
          <w:highlight w:val="white"/>
          <w:lang w:val="en-US"/>
        </w:rPr>
      </w:pPr>
      <w:r>
        <w:rPr>
          <w:rFonts w:hint="eastAsia" w:ascii="黑体" w:hAnsi="黑体" w:eastAsia="黑体"/>
          <w:b/>
          <w:color w:val="000000"/>
          <w:sz w:val="32"/>
          <w:highlight w:val="white"/>
          <w:lang w:val="en-US"/>
        </w:rPr>
        <w:t>四、名词解释</w:t>
      </w:r>
    </w:p>
    <w:p>
      <w:pPr>
        <w:spacing w:beforeLines="0" w:afterLines="0" w:line="324" w:lineRule="auto"/>
        <w:ind w:firstLine="594"/>
        <w:rPr>
          <w:rFonts w:hint="eastAsia" w:ascii="仿宋" w:hAnsi="仿宋" w:eastAsia="仿宋"/>
          <w:color w:val="000000"/>
          <w:sz w:val="32"/>
          <w:highlight w:val="white"/>
          <w:lang w:val="zh-CN"/>
        </w:rPr>
      </w:pPr>
      <w:r>
        <w:rPr>
          <w:rFonts w:hint="eastAsia" w:ascii="仿宋" w:hAnsi="仿宋" w:eastAsia="仿宋"/>
          <w:color w:val="000000"/>
          <w:sz w:val="32"/>
          <w:highlight w:val="white"/>
          <w:lang w:val="zh-CN"/>
        </w:rPr>
        <w:t>1.财政拨款收入：指本级财政部门当年拨付的财政预算资金，包括一般公共预算财政拨款、政府性基金预算财政拨款和国有资本经营预算财政拨款。</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zh-CN"/>
        </w:rPr>
        <w:t>2.事业收入：指事业单位开展专业业务活动及辅助活动所取得的收入。</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3.经营收入：指事业单位在专业业务活动及辅助活动之外开展非独立核算经营活动取得的收入。</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4.上级补助收入：指事业单位从主管部门和上级单位取得的非财政补助收入。</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5.附属单位上缴收入：指事业单位附属独立核算单位按照有关规定上缴的收入。</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6.其他收入：指预算单位在“财政拨款”、“事业收入”、“经营收入”、“上级补助收入”、“附属单位上缴收入”等之外取得的各项收入。</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7.使用非财政拨款结余：指事业单位使用以前年度积累的非财政拨款结余弥补当年收支差额的金额。</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8.年初结转和结余：指预算单位以前年度尚未完成、结转到本年仍按原规定用途继续使用的资金。</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9.年末结转和结余：指单位按有关规定结转到下年或以后年度继续使用的资金。</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10.基本支出：指预算单位为保障其正常运转，完成日常工作任务所发生的支出，包括人员经费支出和日常公用经费支出。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11.项目支出：指预算单位为完成其特定的行政工作任务或事业发展目标所发生的支出。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12.上缴上级支出：填列事业单位按照财政部门和主管部门的规定上缴上级单位的支出。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13.经营支出：指事业单位在专业业务活动及其辅助活动之外开展非独立核算经营活动发生的支出。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14.附属单位补助支出：填列事业单位用财政补助收入之外的收入对附属单位补助发生的支出。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17.公共安全支出（类）法院（款）事业运行（项）：指本院下属事业基本支出。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18.</w:t>
      </w:r>
      <w:r>
        <w:rPr>
          <w:rFonts w:hint="eastAsia" w:ascii="仿宋" w:hAnsi="仿宋" w:eastAsia="仿宋"/>
          <w:color w:val="000000"/>
          <w:sz w:val="32"/>
          <w:highlight w:val="white"/>
          <w:lang w:val="en-US"/>
        </w:rPr>
        <w:t>社会保障和就业支出（类）行政事业部门离退休（款）机关事业部门基本养老保险缴费支出（项）：指部门缴纳的基本养老保险费支出；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19.</w:t>
      </w:r>
      <w:r>
        <w:rPr>
          <w:rFonts w:hint="eastAsia" w:ascii="仿宋" w:hAnsi="仿宋" w:eastAsia="仿宋"/>
          <w:color w:val="000000"/>
          <w:sz w:val="32"/>
          <w:highlight w:val="white"/>
          <w:lang w:val="en-US"/>
        </w:rPr>
        <w:t>社会保障和就业支出（类）行政事业部门离退休（款）机关事业部门职业年金缴费支出（项）：指部门实际缴纳职业年金支出；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20.</w:t>
      </w:r>
      <w:r>
        <w:rPr>
          <w:rFonts w:hint="eastAsia" w:ascii="仿宋" w:hAnsi="仿宋" w:eastAsia="仿宋"/>
          <w:color w:val="000000"/>
          <w:sz w:val="32"/>
          <w:highlight w:val="white"/>
          <w:lang w:val="en-US"/>
        </w:rPr>
        <w:t>社会保障和就业支出（类）行政事业部门离退休（款）其他行政事业部门离退休支出（项）：指部门用于离退休方面支出。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21.</w:t>
      </w:r>
      <w:r>
        <w:rPr>
          <w:rFonts w:hint="eastAsia" w:ascii="仿宋" w:hAnsi="仿宋" w:eastAsia="仿宋"/>
          <w:color w:val="000000"/>
          <w:sz w:val="32"/>
          <w:highlight w:val="white"/>
          <w:lang w:val="en-US"/>
        </w:rPr>
        <w:t>卫生健康支出（类）行政事业部门医疗（款）事业部门医疗（项）：指事业部门缴纳医疗保险费支出。</w:t>
      </w:r>
    </w:p>
    <w:p>
      <w:pPr>
        <w:spacing w:beforeLines="0" w:afterLines="0"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22.</w:t>
      </w:r>
      <w:r>
        <w:rPr>
          <w:rFonts w:hint="eastAsia" w:ascii="仿宋" w:hAnsi="仿宋" w:eastAsia="仿宋"/>
          <w:color w:val="000000"/>
          <w:sz w:val="32"/>
          <w:highlight w:val="white"/>
          <w:lang w:val="en-US"/>
        </w:rPr>
        <w:t>住房保障支出（类）住房改革支出（款）住房公积金（项）：指部门为职工缴纳的住房公积金支出。</w:t>
      </w:r>
    </w:p>
    <w:p>
      <w:pPr>
        <w:spacing w:beforeLines="0" w:afterLines="0" w:line="324" w:lineRule="auto"/>
        <w:ind w:firstLine="594"/>
        <w:rPr>
          <w:rFonts w:hint="eastAsia" w:ascii="仿宋_GB2312" w:hAnsi="仿宋_GB2312" w:eastAsia="仿宋_GB2312"/>
          <w:color w:val="000000"/>
          <w:sz w:val="32"/>
          <w:highlight w:val="white"/>
          <w:lang w:val="en-US"/>
        </w:rPr>
      </w:pPr>
    </w:p>
    <w:p>
      <w:pPr>
        <w:spacing w:beforeLines="0" w:afterLines="0"/>
        <w:jc w:val="left"/>
        <w:rPr>
          <w:rFonts w:hint="eastAsia" w:ascii="宋体" w:hAnsi="宋体"/>
          <w:color w:val="auto"/>
          <w:kern w:val="0"/>
          <w:sz w:val="18"/>
          <w:lang w:val="zh-CN"/>
        </w:rPr>
      </w:pPr>
    </w:p>
    <w:p>
      <w:pPr>
        <w:spacing w:beforeLines="0" w:afterLines="0"/>
        <w:jc w:val="left"/>
        <w:rPr>
          <w:rFonts w:hint="eastAsia" w:ascii="宋体" w:hAnsi="宋体"/>
          <w:color w:val="auto"/>
          <w:kern w:val="0"/>
          <w:sz w:val="18"/>
          <w:lang w:val="zh-CN"/>
        </w:rPr>
      </w:pPr>
    </w:p>
    <w:p>
      <w:pPr>
        <w:spacing w:beforeLines="0" w:afterLines="0"/>
        <w:jc w:val="left"/>
        <w:rPr>
          <w:rFonts w:hint="eastAsia" w:ascii="黑体" w:hAnsi="黑体" w:eastAsia="黑体"/>
          <w:color w:val="auto"/>
          <w:spacing w:val="15"/>
          <w:sz w:val="44"/>
          <w:lang w:val="en-US"/>
        </w:rPr>
      </w:pPr>
    </w:p>
    <w:p>
      <w:pPr>
        <w:spacing w:beforeLines="0" w:afterLines="0"/>
        <w:jc w:val="left"/>
        <w:rPr>
          <w:rFonts w:hint="eastAsia" w:ascii="宋体" w:hAnsi="宋体"/>
          <w:color w:val="auto"/>
          <w:kern w:val="0"/>
          <w:sz w:val="18"/>
          <w:lang w:val="zh-CN"/>
        </w:rPr>
      </w:pPr>
    </w:p>
    <w:p>
      <w:pPr>
        <w:spacing w:beforeLines="0" w:afterLines="0"/>
        <w:jc w:val="left"/>
        <w:rPr>
          <w:rFonts w:hint="eastAsia" w:ascii="宋体" w:hAnsi="宋体"/>
          <w:color w:val="auto"/>
          <w:kern w:val="0"/>
          <w:sz w:val="18"/>
          <w:lang w:val="zh-CN"/>
        </w:rPr>
      </w:pPr>
    </w:p>
    <w:p>
      <w:pPr>
        <w:spacing w:beforeLines="0" w:afterLines="0"/>
        <w:jc w:val="left"/>
        <w:rPr>
          <w:rFonts w:hint="eastAsia" w:ascii="宋体" w:hAnsi="宋体"/>
          <w:color w:val="auto"/>
          <w:kern w:val="0"/>
          <w:sz w:val="18"/>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993A3D"/>
    <w:multiLevelType w:val="multilevel"/>
    <w:tmpl w:val="92993A3D"/>
    <w:lvl w:ilvl="0" w:tentative="0">
      <w:start w:val="1"/>
      <w:numFmt w:val="decimal"/>
      <w:suff w:val="nothing"/>
      <w:lvlText w:val="（%1）"/>
      <w:lvlJc w:val="left"/>
      <w:pPr>
        <w:ind w:left="36"/>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11B1B22D"/>
    <w:multiLevelType w:val="multilevel"/>
    <w:tmpl w:val="11B1B22D"/>
    <w:lvl w:ilvl="0" w:tentative="0">
      <w:start w:val="1"/>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17C7254C"/>
    <w:multiLevelType w:val="multilevel"/>
    <w:tmpl w:val="17C7254C"/>
    <w:lvl w:ilvl="0" w:tentative="0">
      <w:start w:val="7"/>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8E1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3">
    <w:name w:val="Normal Table"/>
    <w:qFormat/>
    <w:uiPriority w:val="99"/>
    <w:tblPr>
      <w:tblCellMar>
        <w:top w:w="0" w:type="dxa"/>
        <w:left w:w="108" w:type="dxa"/>
        <w:bottom w:w="0" w:type="dxa"/>
        <w:right w:w="108" w:type="dxa"/>
      </w:tblCellMar>
    </w:tblPr>
  </w:style>
  <w:style w:type="paragraph" w:styleId="2">
    <w:name w:val="Normal (Web)"/>
    <w:basedOn w:val="1"/>
    <w:unhideWhenUsed/>
    <w:uiPriority w:val="0"/>
    <w:pPr>
      <w:spacing w:beforeLines="0" w:afterLines="0"/>
      <w:jc w:val="left"/>
    </w:pPr>
    <w:rPr>
      <w:rFonts w:hint="default"/>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2023-09-22T08:19:00Z</dcterms:created>
  <dc:creator>Administrator</dc:creator>
  <cp:lastModifiedBy>Administrator</cp:lastModifiedBy>
  <dcterms:modified xsi:type="dcterms:W3CDTF">2023-09-22T08:20:01Z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